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5D" w:rsidRDefault="00CE6483" w:rsidP="00F20C5D">
      <w:pPr>
        <w:pStyle w:val="Titre1"/>
        <w:rPr>
          <w:sz w:val="32"/>
        </w:rPr>
      </w:pPr>
      <w:bookmarkStart w:id="0" w:name="_GoBack"/>
      <w:bookmarkEnd w:id="0"/>
      <w:r>
        <w:rPr>
          <w:sz w:val="32"/>
        </w:rPr>
        <w:t>RESUMÉ et MOTS CLÉS</w:t>
      </w:r>
    </w:p>
    <w:p w:rsidR="00CE6483" w:rsidRDefault="00CE6483">
      <w:pPr>
        <w:rPr>
          <w:rFonts w:ascii="Arial" w:hAnsi="Arial" w:cs="Arial"/>
          <w:sz w:val="22"/>
          <w:szCs w:val="22"/>
        </w:rPr>
      </w:pPr>
    </w:p>
    <w:p w:rsidR="00586CDA" w:rsidRPr="00437C96" w:rsidRDefault="00586CDA">
      <w:pPr>
        <w:rPr>
          <w:rFonts w:ascii="Arial" w:hAnsi="Arial" w:cs="Arial"/>
          <w:sz w:val="22"/>
          <w:szCs w:val="22"/>
        </w:rPr>
      </w:pPr>
    </w:p>
    <w:p w:rsidR="00CE6483" w:rsidRDefault="00CE6483">
      <w:pPr>
        <w:tabs>
          <w:tab w:val="left" w:leader="dot" w:pos="10632"/>
        </w:tabs>
        <w:rPr>
          <w:sz w:val="22"/>
          <w:szCs w:val="22"/>
        </w:rPr>
      </w:pPr>
      <w:r w:rsidRPr="00A30AD8">
        <w:rPr>
          <w:sz w:val="22"/>
          <w:szCs w:val="22"/>
        </w:rPr>
        <w:t xml:space="preserve">TITRE EN FRANÇAIS : </w:t>
      </w:r>
      <w:r w:rsidR="00004277" w:rsidRPr="00004277">
        <w:rPr>
          <w:sz w:val="22"/>
          <w:szCs w:val="22"/>
        </w:rPr>
        <w:t>Les déterminants de la réussite en Licence dans une université de proximité : remédiation pédagogique et effets socio-territoriaux de la pratique étudiante.</w:t>
      </w:r>
    </w:p>
    <w:p w:rsidR="00004277" w:rsidRPr="00A30AD8" w:rsidRDefault="00004277">
      <w:pPr>
        <w:tabs>
          <w:tab w:val="left" w:leader="dot" w:pos="10632"/>
        </w:tabs>
        <w:rPr>
          <w:sz w:val="22"/>
          <w:szCs w:val="22"/>
        </w:rPr>
      </w:pPr>
    </w:p>
    <w:p w:rsidR="00CE6483" w:rsidRPr="00A30AD8" w:rsidRDefault="00CE6483">
      <w:pPr>
        <w:rPr>
          <w:sz w:val="22"/>
          <w:szCs w:val="22"/>
        </w:rPr>
      </w:pPr>
      <w:r w:rsidRPr="00A30AD8">
        <w:rPr>
          <w:sz w:val="22"/>
          <w:szCs w:val="22"/>
        </w:rPr>
        <w:t>Résumé en français :</w:t>
      </w:r>
    </w:p>
    <w:tbl>
      <w:tblPr>
        <w:tblW w:w="0" w:type="auto"/>
        <w:tblInd w:w="-15" w:type="dxa"/>
        <w:tblLayout w:type="fixed"/>
        <w:tblLook w:val="0000" w:firstRow="0" w:lastRow="0" w:firstColumn="0" w:lastColumn="0" w:noHBand="0" w:noVBand="0"/>
      </w:tblPr>
      <w:tblGrid>
        <w:gridCol w:w="10758"/>
      </w:tblGrid>
      <w:tr w:rsidR="00CE6483" w:rsidRPr="00A30AD8" w:rsidTr="008B2926">
        <w:trPr>
          <w:trHeight w:hRule="exact" w:val="10717"/>
        </w:trPr>
        <w:tc>
          <w:tcPr>
            <w:tcW w:w="10758" w:type="dxa"/>
            <w:tcBorders>
              <w:top w:val="single" w:sz="4" w:space="0" w:color="000000"/>
              <w:left w:val="single" w:sz="4" w:space="0" w:color="000000"/>
              <w:bottom w:val="single" w:sz="4" w:space="0" w:color="000000"/>
              <w:right w:val="single" w:sz="4" w:space="0" w:color="000000"/>
            </w:tcBorders>
          </w:tcPr>
          <w:p w:rsidR="007244CB" w:rsidRDefault="007244CB" w:rsidP="003F4E92">
            <w:pPr>
              <w:spacing w:before="120"/>
              <w:jc w:val="both"/>
              <w:rPr>
                <w:sz w:val="22"/>
                <w:szCs w:val="22"/>
              </w:rPr>
            </w:pPr>
            <w:r w:rsidRPr="007244CB">
              <w:rPr>
                <w:sz w:val="22"/>
                <w:szCs w:val="22"/>
              </w:rPr>
              <w:t xml:space="preserve">Au cours du XXème siècle, la recherche en éducation a mis en lumière les enjeux d'une démocratisation partielle de l'enseignement supérieur. L'ouverture de nouveaux établissements universitaires dans les années 1960-70 a permis une massification de l'accès aux études supérieures. Toutefois, cette expansion s'est accompagnée d'une hausse du taux d'échec, particulièrement notable entre les années 1960 et 1990. Ce n'est qu'à partir des années 2000 que l'on observe une stabilisation progressive de ce phénomène, témoignant de l'évolution des pratiques pédagogiques et des politiques de remédiation adaptées à un public de plus en plus diversifié. Celles-ci se manifestent notamment par le recours à des financements extrabudgétaires compétitifs. Dans ce cadre, le Programme d'investissements d'avenir (PIA), à travers son volet Nouveaux Cursus et Rythme (NCU), soutient le projet Thélème, porté conjointement par les universités du Mans et d'Angers, et dédié </w:t>
            </w:r>
            <w:r>
              <w:rPr>
                <w:sz w:val="22"/>
                <w:szCs w:val="22"/>
              </w:rPr>
              <w:t>à la remédiation universitaire.</w:t>
            </w:r>
          </w:p>
          <w:p w:rsidR="007244CB" w:rsidRDefault="007244CB" w:rsidP="003F4E92">
            <w:pPr>
              <w:spacing w:before="120"/>
              <w:jc w:val="both"/>
              <w:rPr>
                <w:sz w:val="22"/>
                <w:szCs w:val="22"/>
              </w:rPr>
            </w:pPr>
            <w:r w:rsidRPr="007244CB">
              <w:rPr>
                <w:sz w:val="22"/>
                <w:szCs w:val="22"/>
              </w:rPr>
              <w:t xml:space="preserve">Cette thèse s’inscrit dans une démarche d’évaluation du PIA NCU Thélème pour le volet manceau, en adoptant une double perspective. D’une part, elle examine la mise en œuvre du projet en s’intéressant à l’offre de remédiation ainsi qu’à la gouvernance de cette dernière. Cette analyse s’appuie sur une enquête ethnographique enrichie par des entretiens semi-directifs, dont les résultats montrent que la mise en œuvre en pratique du projet Thélème à Le Mans Université (LMU), confrontée à des rationalités d’acteurs variées, freine son déploiement à grande échelle. D’autre part, en adoptant cette fois-ci une perspective relative à l’articulation sociale de l’offre de remédiation, la thèse explore la réception du projet et son impact sur les parcours et la réussite des étudiants. Le suivi d'une cohorte de 1989 étudiants sur une période de trois ans, par des questionnaires et des entretiens semi-directifs, depuis leur première inscription en licence en 2019-2020 jusqu’en 2021-2022, constitue le cœur de cette approche. Les résultats indiquent que, bien que des dispositifs de remédiation – comme le tutorat ou la possibilité scinder la première année de licence sur deux ans – aient un effet direct sur la probabilité de réussite aux examens, leur influence, au regard des déterminants classiques de la réussite étudiante, reste relativement faible sur le plan académique. </w:t>
            </w:r>
          </w:p>
          <w:p w:rsidR="008B2926" w:rsidRDefault="007244CB" w:rsidP="003F4E92">
            <w:pPr>
              <w:spacing w:before="120"/>
              <w:jc w:val="both"/>
              <w:rPr>
                <w:sz w:val="22"/>
                <w:szCs w:val="22"/>
              </w:rPr>
            </w:pPr>
            <w:r w:rsidRPr="007244CB">
              <w:rPr>
                <w:sz w:val="22"/>
                <w:szCs w:val="22"/>
              </w:rPr>
              <w:t>Ces deux axes d’analyse convergent autour d’un objet d’étude commun : l’université de proximité, façonnée par des réalités historiques, géographiques et sociales spécifiques. Cet environnement constitue le cadre dans lequel évoluent les étudiants enquêtés. En toile de fond de l’évaluation du PIA NCU, la thèse met en lumière le rôle que joue Le Mans Université dans la démocratisation de l’accès à l’enseignement supérieur, en dessinant les contours d’un profil étudiant majoritairement d’origine local, caractérisé par une décohabitation tardive et une origine sociale populaire. Ces caractéristiques façonnent non seulement l’expérience universitaire, mais aussi les défis auxquels le projet Thélème est confronté pour soutenir efficacement la réussite étudiante.</w:t>
            </w:r>
          </w:p>
          <w:p w:rsidR="008B2926" w:rsidRDefault="008B2926" w:rsidP="003F4E92">
            <w:pPr>
              <w:spacing w:before="120"/>
              <w:jc w:val="both"/>
              <w:rPr>
                <w:sz w:val="22"/>
                <w:szCs w:val="22"/>
              </w:rPr>
            </w:pPr>
          </w:p>
          <w:p w:rsidR="009F52C2" w:rsidRPr="004356DA" w:rsidRDefault="009F52C2" w:rsidP="00004564">
            <w:pPr>
              <w:spacing w:before="120"/>
              <w:rPr>
                <w:sz w:val="22"/>
                <w:szCs w:val="22"/>
                <w:highlight w:val="yellow"/>
              </w:rPr>
            </w:pPr>
          </w:p>
        </w:tc>
      </w:tr>
    </w:tbl>
    <w:p w:rsidR="00CE6483" w:rsidRPr="00A30AD8" w:rsidRDefault="00500F5A">
      <w:pPr>
        <w:pStyle w:val="Commentaire"/>
        <w:spacing w:before="60" w:after="60"/>
        <w:ind w:right="-142"/>
        <w:rPr>
          <w:rFonts w:ascii="Times New Roman" w:hAnsi="Times New Roman" w:cs="Times New Roman"/>
          <w:sz w:val="22"/>
          <w:szCs w:val="22"/>
        </w:rPr>
      </w:pPr>
      <w:r>
        <w:rPr>
          <w:rFonts w:ascii="Times New Roman" w:hAnsi="Times New Roman" w:cs="Times New Roman"/>
          <w:sz w:val="22"/>
          <w:szCs w:val="22"/>
        </w:rPr>
        <w:t>MOTS-CLÉS en français</w:t>
      </w:r>
      <w:r w:rsidR="00CE6483" w:rsidRPr="00A30AD8">
        <w:rPr>
          <w:rFonts w:ascii="Times New Roman" w:hAnsi="Times New Roman" w:cs="Times New Roman"/>
          <w:sz w:val="22"/>
          <w:szCs w:val="22"/>
        </w:rPr>
        <w:t> :</w:t>
      </w:r>
    </w:p>
    <w:tbl>
      <w:tblPr>
        <w:tblW w:w="0" w:type="auto"/>
        <w:tblCellMar>
          <w:left w:w="70" w:type="dxa"/>
          <w:right w:w="70" w:type="dxa"/>
        </w:tblCellMar>
        <w:tblLook w:val="0000" w:firstRow="0" w:lastRow="0" w:firstColumn="0" w:lastColumn="0" w:noHBand="0" w:noVBand="0"/>
      </w:tblPr>
      <w:tblGrid>
        <w:gridCol w:w="354"/>
        <w:gridCol w:w="4536"/>
        <w:gridCol w:w="283"/>
        <w:gridCol w:w="4607"/>
      </w:tblGrid>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1</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Étudiants</w:t>
            </w:r>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5</w:t>
            </w: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Inégalités</w:t>
            </w:r>
          </w:p>
        </w:tc>
      </w:tr>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2</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Université de proximité</w:t>
            </w:r>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6</w:t>
            </w: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Remédiation</w:t>
            </w:r>
          </w:p>
        </w:tc>
      </w:tr>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3</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Démocratisation</w:t>
            </w:r>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7</w:t>
            </w: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Programme d’Investissement d’Avenir</w:t>
            </w:r>
          </w:p>
        </w:tc>
      </w:tr>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4</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Réussite étudiante</w:t>
            </w:r>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
        </w:tc>
      </w:tr>
    </w:tbl>
    <w:p w:rsidR="00CE6483" w:rsidRPr="00A30AD8" w:rsidRDefault="00CE6483">
      <w:pPr>
        <w:rPr>
          <w:sz w:val="22"/>
          <w:szCs w:val="22"/>
        </w:rPr>
      </w:pPr>
    </w:p>
    <w:p w:rsidR="00CE6483" w:rsidRPr="002F705E" w:rsidRDefault="00CE6483">
      <w:pPr>
        <w:tabs>
          <w:tab w:val="left" w:leader="dot" w:pos="10632"/>
        </w:tabs>
        <w:rPr>
          <w:sz w:val="22"/>
          <w:szCs w:val="22"/>
          <w:lang w:val="en-US"/>
        </w:rPr>
      </w:pPr>
      <w:r w:rsidRPr="002F705E">
        <w:rPr>
          <w:sz w:val="22"/>
          <w:szCs w:val="22"/>
          <w:lang w:val="en-US"/>
        </w:rPr>
        <w:t xml:space="preserve">TITRE EN </w:t>
      </w:r>
      <w:proofErr w:type="gramStart"/>
      <w:r w:rsidRPr="002F705E">
        <w:rPr>
          <w:sz w:val="22"/>
          <w:szCs w:val="22"/>
          <w:lang w:val="en-US"/>
        </w:rPr>
        <w:t>ANGLAIS :</w:t>
      </w:r>
      <w:proofErr w:type="gramEnd"/>
      <w:r w:rsidRPr="002F705E">
        <w:rPr>
          <w:sz w:val="22"/>
          <w:szCs w:val="22"/>
          <w:lang w:val="en-US"/>
        </w:rPr>
        <w:t xml:space="preserve"> </w:t>
      </w:r>
      <w:r w:rsidR="00552D53" w:rsidRPr="002F705E">
        <w:rPr>
          <w:sz w:val="22"/>
          <w:szCs w:val="22"/>
          <w:lang w:val="en-US"/>
        </w:rPr>
        <w:t>The determinants of success in undergraduate studies at a local university: Educational remediation and socio-territorial effects of student practices.</w:t>
      </w:r>
    </w:p>
    <w:p w:rsidR="00552D53" w:rsidRPr="002F705E" w:rsidRDefault="00552D53">
      <w:pPr>
        <w:tabs>
          <w:tab w:val="left" w:leader="dot" w:pos="10632"/>
        </w:tabs>
        <w:rPr>
          <w:sz w:val="22"/>
          <w:szCs w:val="22"/>
          <w:lang w:val="en-US"/>
        </w:rPr>
      </w:pPr>
    </w:p>
    <w:p w:rsidR="00CE6483" w:rsidRPr="00A30AD8" w:rsidRDefault="00CE6483">
      <w:pPr>
        <w:rPr>
          <w:sz w:val="22"/>
          <w:szCs w:val="22"/>
        </w:rPr>
      </w:pPr>
      <w:r w:rsidRPr="00A30AD8">
        <w:rPr>
          <w:sz w:val="22"/>
          <w:szCs w:val="22"/>
        </w:rPr>
        <w:t>Résumé en anglais :</w:t>
      </w:r>
    </w:p>
    <w:tbl>
      <w:tblPr>
        <w:tblW w:w="0" w:type="auto"/>
        <w:tblInd w:w="-15" w:type="dxa"/>
        <w:tblLayout w:type="fixed"/>
        <w:tblLook w:val="0000" w:firstRow="0" w:lastRow="0" w:firstColumn="0" w:lastColumn="0" w:noHBand="0" w:noVBand="0"/>
      </w:tblPr>
      <w:tblGrid>
        <w:gridCol w:w="10758"/>
      </w:tblGrid>
      <w:tr w:rsidR="00CE6483" w:rsidRPr="00F87C19" w:rsidTr="00FC1826">
        <w:trPr>
          <w:trHeight w:hRule="exact" w:val="9312"/>
        </w:trPr>
        <w:tc>
          <w:tcPr>
            <w:tcW w:w="10758" w:type="dxa"/>
            <w:tcBorders>
              <w:top w:val="single" w:sz="4" w:space="0" w:color="000000"/>
              <w:left w:val="single" w:sz="4" w:space="0" w:color="000000"/>
              <w:bottom w:val="single" w:sz="4" w:space="0" w:color="000000"/>
              <w:right w:val="single" w:sz="4" w:space="0" w:color="000000"/>
            </w:tcBorders>
          </w:tcPr>
          <w:p w:rsidR="00FC1826" w:rsidRPr="00FC1826" w:rsidRDefault="00FC1826" w:rsidP="00FC1826">
            <w:pPr>
              <w:pStyle w:val="NormalWeb"/>
              <w:spacing w:before="120" w:beforeAutospacing="0" w:after="0" w:afterAutospacing="0"/>
              <w:jc w:val="both"/>
              <w:rPr>
                <w:sz w:val="22"/>
                <w:szCs w:val="22"/>
              </w:rPr>
            </w:pPr>
            <w:proofErr w:type="spellStart"/>
            <w:r w:rsidRPr="00FC1826">
              <w:rPr>
                <w:sz w:val="22"/>
                <w:szCs w:val="22"/>
              </w:rPr>
              <w:t>Throughout</w:t>
            </w:r>
            <w:proofErr w:type="spellEnd"/>
            <w:r w:rsidRPr="00FC1826">
              <w:rPr>
                <w:sz w:val="22"/>
                <w:szCs w:val="22"/>
              </w:rPr>
              <w:t xml:space="preserve"> the </w:t>
            </w:r>
            <w:proofErr w:type="spellStart"/>
            <w:r w:rsidRPr="00FC1826">
              <w:rPr>
                <w:sz w:val="22"/>
                <w:szCs w:val="22"/>
              </w:rPr>
              <w:t>twentieth</w:t>
            </w:r>
            <w:proofErr w:type="spellEnd"/>
            <w:r w:rsidRPr="00FC1826">
              <w:rPr>
                <w:sz w:val="22"/>
                <w:szCs w:val="22"/>
              </w:rPr>
              <w:t xml:space="preserve"> </w:t>
            </w:r>
            <w:proofErr w:type="spellStart"/>
            <w:r w:rsidRPr="00FC1826">
              <w:rPr>
                <w:sz w:val="22"/>
                <w:szCs w:val="22"/>
              </w:rPr>
              <w:t>century</w:t>
            </w:r>
            <w:proofErr w:type="spellEnd"/>
            <w:r w:rsidRPr="00FC1826">
              <w:rPr>
                <w:sz w:val="22"/>
                <w:szCs w:val="22"/>
              </w:rPr>
              <w:t xml:space="preserve">, </w:t>
            </w:r>
            <w:proofErr w:type="spellStart"/>
            <w:r w:rsidRPr="00FC1826">
              <w:rPr>
                <w:sz w:val="22"/>
                <w:szCs w:val="22"/>
              </w:rPr>
              <w:t>research</w:t>
            </w:r>
            <w:proofErr w:type="spellEnd"/>
            <w:r w:rsidRPr="00FC1826">
              <w:rPr>
                <w:sz w:val="22"/>
                <w:szCs w:val="22"/>
              </w:rPr>
              <w:t xml:space="preserve"> in </w:t>
            </w:r>
            <w:proofErr w:type="spellStart"/>
            <w:r w:rsidRPr="00FC1826">
              <w:rPr>
                <w:sz w:val="22"/>
                <w:szCs w:val="22"/>
              </w:rPr>
              <w:t>education</w:t>
            </w:r>
            <w:proofErr w:type="spellEnd"/>
            <w:r w:rsidRPr="00FC1826">
              <w:rPr>
                <w:sz w:val="22"/>
                <w:szCs w:val="22"/>
              </w:rPr>
              <w:t xml:space="preserve"> has </w:t>
            </w:r>
            <w:proofErr w:type="spellStart"/>
            <w:r w:rsidRPr="00FC1826">
              <w:rPr>
                <w:sz w:val="22"/>
                <w:szCs w:val="22"/>
              </w:rPr>
              <w:t>highlighted</w:t>
            </w:r>
            <w:proofErr w:type="spellEnd"/>
            <w:r w:rsidRPr="00FC1826">
              <w:rPr>
                <w:sz w:val="22"/>
                <w:szCs w:val="22"/>
              </w:rPr>
              <w:t xml:space="preserve"> the challenges </w:t>
            </w:r>
            <w:proofErr w:type="spellStart"/>
            <w:r w:rsidRPr="00FC1826">
              <w:rPr>
                <w:sz w:val="22"/>
                <w:szCs w:val="22"/>
              </w:rPr>
              <w:t>associated</w:t>
            </w:r>
            <w:proofErr w:type="spellEnd"/>
            <w:r w:rsidRPr="00FC1826">
              <w:rPr>
                <w:sz w:val="22"/>
                <w:szCs w:val="22"/>
              </w:rPr>
              <w:t xml:space="preserve"> </w:t>
            </w:r>
            <w:proofErr w:type="spellStart"/>
            <w:r w:rsidRPr="00FC1826">
              <w:rPr>
                <w:sz w:val="22"/>
                <w:szCs w:val="22"/>
              </w:rPr>
              <w:t>with</w:t>
            </w:r>
            <w:proofErr w:type="spellEnd"/>
            <w:r w:rsidRPr="00FC1826">
              <w:rPr>
                <w:sz w:val="22"/>
                <w:szCs w:val="22"/>
              </w:rPr>
              <w:t xml:space="preserve"> the partial </w:t>
            </w:r>
            <w:proofErr w:type="spellStart"/>
            <w:r w:rsidRPr="00FC1826">
              <w:rPr>
                <w:sz w:val="22"/>
                <w:szCs w:val="22"/>
              </w:rPr>
              <w:t>democratization</w:t>
            </w:r>
            <w:proofErr w:type="spellEnd"/>
            <w:r w:rsidRPr="00FC1826">
              <w:rPr>
                <w:sz w:val="22"/>
                <w:szCs w:val="22"/>
              </w:rPr>
              <w:t xml:space="preserve"> of </w:t>
            </w:r>
            <w:proofErr w:type="spellStart"/>
            <w:r w:rsidRPr="00FC1826">
              <w:rPr>
                <w:sz w:val="22"/>
                <w:szCs w:val="22"/>
              </w:rPr>
              <w:t>higher</w:t>
            </w:r>
            <w:proofErr w:type="spellEnd"/>
            <w:r w:rsidRPr="00FC1826">
              <w:rPr>
                <w:sz w:val="22"/>
                <w:szCs w:val="22"/>
              </w:rPr>
              <w:t xml:space="preserve"> </w:t>
            </w:r>
            <w:proofErr w:type="spellStart"/>
            <w:r w:rsidRPr="00FC1826">
              <w:rPr>
                <w:sz w:val="22"/>
                <w:szCs w:val="22"/>
              </w:rPr>
              <w:t>education</w:t>
            </w:r>
            <w:proofErr w:type="spellEnd"/>
            <w:r w:rsidRPr="00FC1826">
              <w:rPr>
                <w:sz w:val="22"/>
                <w:szCs w:val="22"/>
              </w:rPr>
              <w:t xml:space="preserve">. The establishment of new </w:t>
            </w:r>
            <w:proofErr w:type="spellStart"/>
            <w:r w:rsidRPr="00FC1826">
              <w:rPr>
                <w:sz w:val="22"/>
                <w:szCs w:val="22"/>
              </w:rPr>
              <w:t>universities</w:t>
            </w:r>
            <w:proofErr w:type="spellEnd"/>
            <w:r w:rsidRPr="00FC1826">
              <w:rPr>
                <w:sz w:val="22"/>
                <w:szCs w:val="22"/>
              </w:rPr>
              <w:t xml:space="preserve"> </w:t>
            </w:r>
            <w:proofErr w:type="spellStart"/>
            <w:r w:rsidRPr="00FC1826">
              <w:rPr>
                <w:sz w:val="22"/>
                <w:szCs w:val="22"/>
              </w:rPr>
              <w:t>during</w:t>
            </w:r>
            <w:proofErr w:type="spellEnd"/>
            <w:r w:rsidRPr="00FC1826">
              <w:rPr>
                <w:sz w:val="22"/>
                <w:szCs w:val="22"/>
              </w:rPr>
              <w:t xml:space="preserve"> the 1960s and 1970s </w:t>
            </w:r>
            <w:proofErr w:type="spellStart"/>
            <w:r w:rsidRPr="00FC1826">
              <w:rPr>
                <w:sz w:val="22"/>
                <w:szCs w:val="22"/>
              </w:rPr>
              <w:t>facilitated</w:t>
            </w:r>
            <w:proofErr w:type="spellEnd"/>
            <w:r w:rsidRPr="00FC1826">
              <w:rPr>
                <w:sz w:val="22"/>
                <w:szCs w:val="22"/>
              </w:rPr>
              <w:t xml:space="preserve"> a mass expansion of </w:t>
            </w:r>
            <w:proofErr w:type="spellStart"/>
            <w:r w:rsidRPr="00FC1826">
              <w:rPr>
                <w:sz w:val="22"/>
                <w:szCs w:val="22"/>
              </w:rPr>
              <w:t>access</w:t>
            </w:r>
            <w:proofErr w:type="spellEnd"/>
            <w:r w:rsidRPr="00FC1826">
              <w:rPr>
                <w:sz w:val="22"/>
                <w:szCs w:val="22"/>
              </w:rPr>
              <w:t xml:space="preserve"> to </w:t>
            </w:r>
            <w:proofErr w:type="spellStart"/>
            <w:r w:rsidRPr="00FC1826">
              <w:rPr>
                <w:sz w:val="22"/>
                <w:szCs w:val="22"/>
              </w:rPr>
              <w:t>higher</w:t>
            </w:r>
            <w:proofErr w:type="spellEnd"/>
            <w:r w:rsidRPr="00FC1826">
              <w:rPr>
                <w:sz w:val="22"/>
                <w:szCs w:val="22"/>
              </w:rPr>
              <w:t xml:space="preserve"> </w:t>
            </w:r>
            <w:proofErr w:type="spellStart"/>
            <w:r w:rsidRPr="00FC1826">
              <w:rPr>
                <w:sz w:val="22"/>
                <w:szCs w:val="22"/>
              </w:rPr>
              <w:t>education</w:t>
            </w:r>
            <w:proofErr w:type="spellEnd"/>
            <w:r w:rsidRPr="00FC1826">
              <w:rPr>
                <w:sz w:val="22"/>
                <w:szCs w:val="22"/>
              </w:rPr>
              <w:t xml:space="preserve">. </w:t>
            </w:r>
            <w:proofErr w:type="spellStart"/>
            <w:r w:rsidRPr="00FC1826">
              <w:rPr>
                <w:sz w:val="22"/>
                <w:szCs w:val="22"/>
              </w:rPr>
              <w:t>However</w:t>
            </w:r>
            <w:proofErr w:type="spellEnd"/>
            <w:r w:rsidRPr="00FC1826">
              <w:rPr>
                <w:sz w:val="22"/>
                <w:szCs w:val="22"/>
              </w:rPr>
              <w:t xml:space="preserve">, </w:t>
            </w:r>
            <w:proofErr w:type="spellStart"/>
            <w:r w:rsidRPr="00FC1826">
              <w:rPr>
                <w:sz w:val="22"/>
                <w:szCs w:val="22"/>
              </w:rPr>
              <w:t>this</w:t>
            </w:r>
            <w:proofErr w:type="spellEnd"/>
            <w:r w:rsidRPr="00FC1826">
              <w:rPr>
                <w:sz w:val="22"/>
                <w:szCs w:val="22"/>
              </w:rPr>
              <w:t xml:space="preserve"> expansion </w:t>
            </w:r>
            <w:proofErr w:type="spellStart"/>
            <w:r w:rsidRPr="00FC1826">
              <w:rPr>
                <w:sz w:val="22"/>
                <w:szCs w:val="22"/>
              </w:rPr>
              <w:t>was</w:t>
            </w:r>
            <w:proofErr w:type="spellEnd"/>
            <w:r w:rsidRPr="00FC1826">
              <w:rPr>
                <w:sz w:val="22"/>
                <w:szCs w:val="22"/>
              </w:rPr>
              <w:t xml:space="preserve"> </w:t>
            </w:r>
            <w:proofErr w:type="spellStart"/>
            <w:r w:rsidRPr="00FC1826">
              <w:rPr>
                <w:sz w:val="22"/>
                <w:szCs w:val="22"/>
              </w:rPr>
              <w:t>accompanied</w:t>
            </w:r>
            <w:proofErr w:type="spellEnd"/>
            <w:r w:rsidRPr="00FC1826">
              <w:rPr>
                <w:sz w:val="22"/>
                <w:szCs w:val="22"/>
              </w:rPr>
              <w:t xml:space="preserve"> by a </w:t>
            </w:r>
            <w:proofErr w:type="spellStart"/>
            <w:r w:rsidRPr="00FC1826">
              <w:rPr>
                <w:sz w:val="22"/>
                <w:szCs w:val="22"/>
              </w:rPr>
              <w:t>significant</w:t>
            </w:r>
            <w:proofErr w:type="spellEnd"/>
            <w:r w:rsidRPr="00FC1826">
              <w:rPr>
                <w:sz w:val="22"/>
                <w:szCs w:val="22"/>
              </w:rPr>
              <w:t xml:space="preserve"> </w:t>
            </w:r>
            <w:proofErr w:type="spellStart"/>
            <w:r w:rsidRPr="00FC1826">
              <w:rPr>
                <w:sz w:val="22"/>
                <w:szCs w:val="22"/>
              </w:rPr>
              <w:t>increase</w:t>
            </w:r>
            <w:proofErr w:type="spellEnd"/>
            <w:r w:rsidRPr="00FC1826">
              <w:rPr>
                <w:sz w:val="22"/>
                <w:szCs w:val="22"/>
              </w:rPr>
              <w:t xml:space="preserve"> in </w:t>
            </w:r>
            <w:proofErr w:type="spellStart"/>
            <w:r w:rsidRPr="00FC1826">
              <w:rPr>
                <w:sz w:val="22"/>
                <w:szCs w:val="22"/>
              </w:rPr>
              <w:t>failure</w:t>
            </w:r>
            <w:proofErr w:type="spellEnd"/>
            <w:r w:rsidRPr="00FC1826">
              <w:rPr>
                <w:sz w:val="22"/>
                <w:szCs w:val="22"/>
              </w:rPr>
              <w:t xml:space="preserve"> rates, </w:t>
            </w:r>
            <w:proofErr w:type="spellStart"/>
            <w:r w:rsidRPr="00FC1826">
              <w:rPr>
                <w:sz w:val="22"/>
                <w:szCs w:val="22"/>
              </w:rPr>
              <w:t>particularly</w:t>
            </w:r>
            <w:proofErr w:type="spellEnd"/>
            <w:r w:rsidRPr="00FC1826">
              <w:rPr>
                <w:sz w:val="22"/>
                <w:szCs w:val="22"/>
              </w:rPr>
              <w:t xml:space="preserve"> </w:t>
            </w:r>
            <w:proofErr w:type="spellStart"/>
            <w:r w:rsidRPr="00FC1826">
              <w:rPr>
                <w:sz w:val="22"/>
                <w:szCs w:val="22"/>
              </w:rPr>
              <w:t>noticeable</w:t>
            </w:r>
            <w:proofErr w:type="spellEnd"/>
            <w:r w:rsidRPr="00FC1826">
              <w:rPr>
                <w:sz w:val="22"/>
                <w:szCs w:val="22"/>
              </w:rPr>
              <w:t xml:space="preserve"> </w:t>
            </w:r>
            <w:proofErr w:type="spellStart"/>
            <w:r w:rsidRPr="00FC1826">
              <w:rPr>
                <w:sz w:val="22"/>
                <w:szCs w:val="22"/>
              </w:rPr>
              <w:t>between</w:t>
            </w:r>
            <w:proofErr w:type="spellEnd"/>
            <w:r w:rsidRPr="00FC1826">
              <w:rPr>
                <w:sz w:val="22"/>
                <w:szCs w:val="22"/>
              </w:rPr>
              <w:t xml:space="preserve"> the 1960s and the 1990s. It </w:t>
            </w:r>
            <w:proofErr w:type="spellStart"/>
            <w:r w:rsidRPr="00FC1826">
              <w:rPr>
                <w:sz w:val="22"/>
                <w:szCs w:val="22"/>
              </w:rPr>
              <w:t>was</w:t>
            </w:r>
            <w:proofErr w:type="spellEnd"/>
            <w:r w:rsidRPr="00FC1826">
              <w:rPr>
                <w:sz w:val="22"/>
                <w:szCs w:val="22"/>
              </w:rPr>
              <w:t xml:space="preserve"> </w:t>
            </w:r>
            <w:proofErr w:type="spellStart"/>
            <w:r w:rsidRPr="00FC1826">
              <w:rPr>
                <w:sz w:val="22"/>
                <w:szCs w:val="22"/>
              </w:rPr>
              <w:t>only</w:t>
            </w:r>
            <w:proofErr w:type="spellEnd"/>
            <w:r w:rsidRPr="00FC1826">
              <w:rPr>
                <w:sz w:val="22"/>
                <w:szCs w:val="22"/>
              </w:rPr>
              <w:t xml:space="preserve"> </w:t>
            </w:r>
            <w:proofErr w:type="spellStart"/>
            <w:r w:rsidRPr="00FC1826">
              <w:rPr>
                <w:sz w:val="22"/>
                <w:szCs w:val="22"/>
              </w:rPr>
              <w:t>from</w:t>
            </w:r>
            <w:proofErr w:type="spellEnd"/>
            <w:r w:rsidRPr="00FC1826">
              <w:rPr>
                <w:sz w:val="22"/>
                <w:szCs w:val="22"/>
              </w:rPr>
              <w:t xml:space="preserve"> the 2000s </w:t>
            </w:r>
            <w:proofErr w:type="spellStart"/>
            <w:r w:rsidRPr="00FC1826">
              <w:rPr>
                <w:sz w:val="22"/>
                <w:szCs w:val="22"/>
              </w:rPr>
              <w:t>onwards</w:t>
            </w:r>
            <w:proofErr w:type="spellEnd"/>
            <w:r w:rsidRPr="00FC1826">
              <w:rPr>
                <w:sz w:val="22"/>
                <w:szCs w:val="22"/>
              </w:rPr>
              <w:t xml:space="preserve"> </w:t>
            </w:r>
            <w:proofErr w:type="spellStart"/>
            <w:r w:rsidRPr="00FC1826">
              <w:rPr>
                <w:sz w:val="22"/>
                <w:szCs w:val="22"/>
              </w:rPr>
              <w:t>that</w:t>
            </w:r>
            <w:proofErr w:type="spellEnd"/>
            <w:r w:rsidRPr="00FC1826">
              <w:rPr>
                <w:sz w:val="22"/>
                <w:szCs w:val="22"/>
              </w:rPr>
              <w:t xml:space="preserve"> a </w:t>
            </w:r>
            <w:proofErr w:type="spellStart"/>
            <w:r w:rsidRPr="00FC1826">
              <w:rPr>
                <w:sz w:val="22"/>
                <w:szCs w:val="22"/>
              </w:rPr>
              <w:t>gradual</w:t>
            </w:r>
            <w:proofErr w:type="spellEnd"/>
            <w:r w:rsidRPr="00FC1826">
              <w:rPr>
                <w:sz w:val="22"/>
                <w:szCs w:val="22"/>
              </w:rPr>
              <w:t xml:space="preserve"> </w:t>
            </w:r>
            <w:proofErr w:type="spellStart"/>
            <w:r w:rsidRPr="00FC1826">
              <w:rPr>
                <w:sz w:val="22"/>
                <w:szCs w:val="22"/>
              </w:rPr>
              <w:t>stabilization</w:t>
            </w:r>
            <w:proofErr w:type="spellEnd"/>
            <w:r w:rsidRPr="00FC1826">
              <w:rPr>
                <w:sz w:val="22"/>
                <w:szCs w:val="22"/>
              </w:rPr>
              <w:t xml:space="preserve"> of </w:t>
            </w:r>
            <w:proofErr w:type="spellStart"/>
            <w:r w:rsidRPr="00FC1826">
              <w:rPr>
                <w:sz w:val="22"/>
                <w:szCs w:val="22"/>
              </w:rPr>
              <w:t>this</w:t>
            </w:r>
            <w:proofErr w:type="spellEnd"/>
            <w:r w:rsidRPr="00FC1826">
              <w:rPr>
                <w:sz w:val="22"/>
                <w:szCs w:val="22"/>
              </w:rPr>
              <w:t xml:space="preserve"> </w:t>
            </w:r>
            <w:proofErr w:type="spellStart"/>
            <w:r w:rsidRPr="00FC1826">
              <w:rPr>
                <w:sz w:val="22"/>
                <w:szCs w:val="22"/>
              </w:rPr>
              <w:t>phenomenon</w:t>
            </w:r>
            <w:proofErr w:type="spellEnd"/>
            <w:r w:rsidRPr="00FC1826">
              <w:rPr>
                <w:sz w:val="22"/>
                <w:szCs w:val="22"/>
              </w:rPr>
              <w:t xml:space="preserve"> </w:t>
            </w:r>
            <w:proofErr w:type="spellStart"/>
            <w:r w:rsidRPr="00FC1826">
              <w:rPr>
                <w:sz w:val="22"/>
                <w:szCs w:val="22"/>
              </w:rPr>
              <w:t>became</w:t>
            </w:r>
            <w:proofErr w:type="spellEnd"/>
            <w:r w:rsidRPr="00FC1826">
              <w:rPr>
                <w:sz w:val="22"/>
                <w:szCs w:val="22"/>
              </w:rPr>
              <w:t xml:space="preserve"> observable, </w:t>
            </w:r>
            <w:proofErr w:type="spellStart"/>
            <w:r w:rsidRPr="00FC1826">
              <w:rPr>
                <w:sz w:val="22"/>
                <w:szCs w:val="22"/>
              </w:rPr>
              <w:t>reflecting</w:t>
            </w:r>
            <w:proofErr w:type="spellEnd"/>
            <w:r w:rsidRPr="00FC1826">
              <w:rPr>
                <w:sz w:val="22"/>
                <w:szCs w:val="22"/>
              </w:rPr>
              <w:t xml:space="preserve"> the </w:t>
            </w:r>
            <w:proofErr w:type="spellStart"/>
            <w:r w:rsidRPr="00FC1826">
              <w:rPr>
                <w:sz w:val="22"/>
                <w:szCs w:val="22"/>
              </w:rPr>
              <w:t>evolution</w:t>
            </w:r>
            <w:proofErr w:type="spellEnd"/>
            <w:r w:rsidRPr="00FC1826">
              <w:rPr>
                <w:sz w:val="22"/>
                <w:szCs w:val="22"/>
              </w:rPr>
              <w:t xml:space="preserve"> of </w:t>
            </w:r>
            <w:proofErr w:type="spellStart"/>
            <w:r w:rsidRPr="00FC1826">
              <w:rPr>
                <w:sz w:val="22"/>
                <w:szCs w:val="22"/>
              </w:rPr>
              <w:t>pedagogical</w:t>
            </w:r>
            <w:proofErr w:type="spellEnd"/>
            <w:r w:rsidRPr="00FC1826">
              <w:rPr>
                <w:sz w:val="22"/>
                <w:szCs w:val="22"/>
              </w:rPr>
              <w:t xml:space="preserve"> practices and the </w:t>
            </w:r>
            <w:proofErr w:type="spellStart"/>
            <w:r w:rsidRPr="00FC1826">
              <w:rPr>
                <w:sz w:val="22"/>
                <w:szCs w:val="22"/>
              </w:rPr>
              <w:t>development</w:t>
            </w:r>
            <w:proofErr w:type="spellEnd"/>
            <w:r w:rsidRPr="00FC1826">
              <w:rPr>
                <w:sz w:val="22"/>
                <w:szCs w:val="22"/>
              </w:rPr>
              <w:t xml:space="preserve"> of </w:t>
            </w:r>
            <w:proofErr w:type="spellStart"/>
            <w:r w:rsidRPr="00FC1826">
              <w:rPr>
                <w:sz w:val="22"/>
                <w:szCs w:val="22"/>
              </w:rPr>
              <w:t>remedial</w:t>
            </w:r>
            <w:proofErr w:type="spellEnd"/>
            <w:r w:rsidRPr="00FC1826">
              <w:rPr>
                <w:sz w:val="22"/>
                <w:szCs w:val="22"/>
              </w:rPr>
              <w:t xml:space="preserve"> </w:t>
            </w:r>
            <w:proofErr w:type="spellStart"/>
            <w:r w:rsidRPr="00FC1826">
              <w:rPr>
                <w:sz w:val="22"/>
                <w:szCs w:val="22"/>
              </w:rPr>
              <w:t>policies</w:t>
            </w:r>
            <w:proofErr w:type="spellEnd"/>
            <w:r w:rsidRPr="00FC1826">
              <w:rPr>
                <w:sz w:val="22"/>
                <w:szCs w:val="22"/>
              </w:rPr>
              <w:t xml:space="preserve"> </w:t>
            </w:r>
            <w:proofErr w:type="spellStart"/>
            <w:r w:rsidRPr="00FC1826">
              <w:rPr>
                <w:sz w:val="22"/>
                <w:szCs w:val="22"/>
              </w:rPr>
              <w:t>adapted</w:t>
            </w:r>
            <w:proofErr w:type="spellEnd"/>
            <w:r w:rsidRPr="00FC1826">
              <w:rPr>
                <w:sz w:val="22"/>
                <w:szCs w:val="22"/>
              </w:rPr>
              <w:t xml:space="preserve"> to an </w:t>
            </w:r>
            <w:proofErr w:type="spellStart"/>
            <w:r w:rsidRPr="00FC1826">
              <w:rPr>
                <w:sz w:val="22"/>
                <w:szCs w:val="22"/>
              </w:rPr>
              <w:t>increasingly</w:t>
            </w:r>
            <w:proofErr w:type="spellEnd"/>
            <w:r w:rsidRPr="00FC1826">
              <w:rPr>
                <w:sz w:val="22"/>
                <w:szCs w:val="22"/>
              </w:rPr>
              <w:t xml:space="preserve"> diverse </w:t>
            </w:r>
            <w:proofErr w:type="spellStart"/>
            <w:r w:rsidRPr="00FC1826">
              <w:rPr>
                <w:sz w:val="22"/>
                <w:szCs w:val="22"/>
              </w:rPr>
              <w:t>student</w:t>
            </w:r>
            <w:proofErr w:type="spellEnd"/>
            <w:r w:rsidRPr="00FC1826">
              <w:rPr>
                <w:sz w:val="22"/>
                <w:szCs w:val="22"/>
              </w:rPr>
              <w:t xml:space="preserve"> population. </w:t>
            </w:r>
            <w:proofErr w:type="spellStart"/>
            <w:r w:rsidRPr="00FC1826">
              <w:rPr>
                <w:sz w:val="22"/>
                <w:szCs w:val="22"/>
              </w:rPr>
              <w:t>These</w:t>
            </w:r>
            <w:proofErr w:type="spellEnd"/>
            <w:r w:rsidRPr="00FC1826">
              <w:rPr>
                <w:sz w:val="22"/>
                <w:szCs w:val="22"/>
              </w:rPr>
              <w:t xml:space="preserve"> changes are </w:t>
            </w:r>
            <w:proofErr w:type="spellStart"/>
            <w:r w:rsidRPr="00FC1826">
              <w:rPr>
                <w:sz w:val="22"/>
                <w:szCs w:val="22"/>
              </w:rPr>
              <w:t>notably</w:t>
            </w:r>
            <w:proofErr w:type="spellEnd"/>
            <w:r w:rsidRPr="00FC1826">
              <w:rPr>
                <w:sz w:val="22"/>
                <w:szCs w:val="22"/>
              </w:rPr>
              <w:t xml:space="preserve"> </w:t>
            </w:r>
            <w:proofErr w:type="spellStart"/>
            <w:r w:rsidRPr="00FC1826">
              <w:rPr>
                <w:sz w:val="22"/>
                <w:szCs w:val="22"/>
              </w:rPr>
              <w:t>illustrated</w:t>
            </w:r>
            <w:proofErr w:type="spellEnd"/>
            <w:r w:rsidRPr="00FC1826">
              <w:rPr>
                <w:sz w:val="22"/>
                <w:szCs w:val="22"/>
              </w:rPr>
              <w:t xml:space="preserve"> by the </w:t>
            </w:r>
            <w:proofErr w:type="spellStart"/>
            <w:r w:rsidRPr="00FC1826">
              <w:rPr>
                <w:sz w:val="22"/>
                <w:szCs w:val="22"/>
              </w:rPr>
              <w:t>rise</w:t>
            </w:r>
            <w:proofErr w:type="spellEnd"/>
            <w:r w:rsidRPr="00FC1826">
              <w:rPr>
                <w:sz w:val="22"/>
                <w:szCs w:val="22"/>
              </w:rPr>
              <w:t xml:space="preserve"> of </w:t>
            </w:r>
            <w:proofErr w:type="spellStart"/>
            <w:r w:rsidRPr="00FC1826">
              <w:rPr>
                <w:sz w:val="22"/>
                <w:szCs w:val="22"/>
              </w:rPr>
              <w:t>competitive</w:t>
            </w:r>
            <w:proofErr w:type="spellEnd"/>
            <w:r w:rsidRPr="00FC1826">
              <w:rPr>
                <w:sz w:val="22"/>
                <w:szCs w:val="22"/>
              </w:rPr>
              <w:t xml:space="preserve"> </w:t>
            </w:r>
            <w:proofErr w:type="spellStart"/>
            <w:r w:rsidRPr="00FC1826">
              <w:rPr>
                <w:sz w:val="22"/>
                <w:szCs w:val="22"/>
              </w:rPr>
              <w:t>extrabudgetary</w:t>
            </w:r>
            <w:proofErr w:type="spellEnd"/>
            <w:r w:rsidRPr="00FC1826">
              <w:rPr>
                <w:sz w:val="22"/>
                <w:szCs w:val="22"/>
              </w:rPr>
              <w:t xml:space="preserve"> </w:t>
            </w:r>
            <w:proofErr w:type="spellStart"/>
            <w:r w:rsidRPr="00FC1826">
              <w:rPr>
                <w:sz w:val="22"/>
                <w:szCs w:val="22"/>
              </w:rPr>
              <w:t>funding</w:t>
            </w:r>
            <w:proofErr w:type="spellEnd"/>
            <w:r w:rsidRPr="00FC1826">
              <w:rPr>
                <w:sz w:val="22"/>
                <w:szCs w:val="22"/>
              </w:rPr>
              <w:t xml:space="preserve"> </w:t>
            </w:r>
            <w:proofErr w:type="spellStart"/>
            <w:r w:rsidRPr="00FC1826">
              <w:rPr>
                <w:sz w:val="22"/>
                <w:szCs w:val="22"/>
              </w:rPr>
              <w:t>mechanisms</w:t>
            </w:r>
            <w:proofErr w:type="spellEnd"/>
            <w:r w:rsidRPr="00FC1826">
              <w:rPr>
                <w:sz w:val="22"/>
                <w:szCs w:val="22"/>
              </w:rPr>
              <w:t xml:space="preserve">. </w:t>
            </w:r>
            <w:proofErr w:type="spellStart"/>
            <w:r w:rsidRPr="00FC1826">
              <w:rPr>
                <w:sz w:val="22"/>
                <w:szCs w:val="22"/>
              </w:rPr>
              <w:t>Within</w:t>
            </w:r>
            <w:proofErr w:type="spellEnd"/>
            <w:r w:rsidRPr="00FC1826">
              <w:rPr>
                <w:sz w:val="22"/>
                <w:szCs w:val="22"/>
              </w:rPr>
              <w:t xml:space="preserve"> </w:t>
            </w:r>
            <w:proofErr w:type="spellStart"/>
            <w:r w:rsidRPr="00FC1826">
              <w:rPr>
                <w:sz w:val="22"/>
                <w:szCs w:val="22"/>
              </w:rPr>
              <w:t>this</w:t>
            </w:r>
            <w:proofErr w:type="spellEnd"/>
            <w:r w:rsidRPr="00FC1826">
              <w:rPr>
                <w:sz w:val="22"/>
                <w:szCs w:val="22"/>
              </w:rPr>
              <w:t xml:space="preserve"> </w:t>
            </w:r>
            <w:proofErr w:type="spellStart"/>
            <w:r w:rsidRPr="00FC1826">
              <w:rPr>
                <w:sz w:val="22"/>
                <w:szCs w:val="22"/>
              </w:rPr>
              <w:t>context</w:t>
            </w:r>
            <w:proofErr w:type="spellEnd"/>
            <w:r w:rsidRPr="00FC1826">
              <w:rPr>
                <w:sz w:val="22"/>
                <w:szCs w:val="22"/>
              </w:rPr>
              <w:t xml:space="preserve">, the "Programme d'Investissements d'Avenir" (PIA), </w:t>
            </w:r>
            <w:proofErr w:type="spellStart"/>
            <w:r w:rsidRPr="00FC1826">
              <w:rPr>
                <w:sz w:val="22"/>
                <w:szCs w:val="22"/>
              </w:rPr>
              <w:t>through</w:t>
            </w:r>
            <w:proofErr w:type="spellEnd"/>
            <w:r w:rsidRPr="00FC1826">
              <w:rPr>
                <w:sz w:val="22"/>
                <w:szCs w:val="22"/>
              </w:rPr>
              <w:t xml:space="preserve"> </w:t>
            </w:r>
            <w:proofErr w:type="spellStart"/>
            <w:r w:rsidRPr="00FC1826">
              <w:rPr>
                <w:sz w:val="22"/>
                <w:szCs w:val="22"/>
              </w:rPr>
              <w:t>its</w:t>
            </w:r>
            <w:proofErr w:type="spellEnd"/>
            <w:r w:rsidRPr="00FC1826">
              <w:rPr>
                <w:sz w:val="22"/>
                <w:szCs w:val="22"/>
              </w:rPr>
              <w:t xml:space="preserve"> "Nouveaux Cursus à l'Université" (NCU) initiative, supports the Thélème </w:t>
            </w:r>
            <w:proofErr w:type="spellStart"/>
            <w:r w:rsidRPr="00FC1826">
              <w:rPr>
                <w:sz w:val="22"/>
                <w:szCs w:val="22"/>
              </w:rPr>
              <w:t>project</w:t>
            </w:r>
            <w:proofErr w:type="spellEnd"/>
            <w:r w:rsidRPr="00FC1826">
              <w:rPr>
                <w:sz w:val="22"/>
                <w:szCs w:val="22"/>
              </w:rPr>
              <w:t xml:space="preserve">, </w:t>
            </w:r>
            <w:proofErr w:type="spellStart"/>
            <w:r w:rsidRPr="00FC1826">
              <w:rPr>
                <w:sz w:val="22"/>
                <w:szCs w:val="22"/>
              </w:rPr>
              <w:t>jointly</w:t>
            </w:r>
            <w:proofErr w:type="spellEnd"/>
            <w:r w:rsidRPr="00FC1826">
              <w:rPr>
                <w:sz w:val="22"/>
                <w:szCs w:val="22"/>
              </w:rPr>
              <w:t xml:space="preserve"> </w:t>
            </w:r>
            <w:proofErr w:type="spellStart"/>
            <w:r w:rsidRPr="00FC1826">
              <w:rPr>
                <w:sz w:val="22"/>
                <w:szCs w:val="22"/>
              </w:rPr>
              <w:t>led</w:t>
            </w:r>
            <w:proofErr w:type="spellEnd"/>
            <w:r w:rsidRPr="00FC1826">
              <w:rPr>
                <w:sz w:val="22"/>
                <w:szCs w:val="22"/>
              </w:rPr>
              <w:t xml:space="preserve"> by Le Mans Université and the </w:t>
            </w:r>
            <w:proofErr w:type="spellStart"/>
            <w:r w:rsidRPr="00FC1826">
              <w:rPr>
                <w:sz w:val="22"/>
                <w:szCs w:val="22"/>
              </w:rPr>
              <w:t>University</w:t>
            </w:r>
            <w:proofErr w:type="spellEnd"/>
            <w:r w:rsidRPr="00FC1826">
              <w:rPr>
                <w:sz w:val="22"/>
                <w:szCs w:val="22"/>
              </w:rPr>
              <w:t xml:space="preserve"> of Angers, and </w:t>
            </w:r>
            <w:proofErr w:type="spellStart"/>
            <w:r w:rsidRPr="00FC1826">
              <w:rPr>
                <w:sz w:val="22"/>
                <w:szCs w:val="22"/>
              </w:rPr>
              <w:t>dedicated</w:t>
            </w:r>
            <w:proofErr w:type="spellEnd"/>
            <w:r w:rsidRPr="00FC1826">
              <w:rPr>
                <w:sz w:val="22"/>
                <w:szCs w:val="22"/>
              </w:rPr>
              <w:t xml:space="preserve"> to </w:t>
            </w:r>
            <w:proofErr w:type="spellStart"/>
            <w:r w:rsidRPr="00FC1826">
              <w:rPr>
                <w:sz w:val="22"/>
                <w:szCs w:val="22"/>
              </w:rPr>
              <w:t>university</w:t>
            </w:r>
            <w:proofErr w:type="spellEnd"/>
            <w:r w:rsidRPr="00FC1826">
              <w:rPr>
                <w:sz w:val="22"/>
                <w:szCs w:val="22"/>
              </w:rPr>
              <w:t xml:space="preserve"> </w:t>
            </w:r>
            <w:proofErr w:type="spellStart"/>
            <w:r w:rsidRPr="00FC1826">
              <w:rPr>
                <w:sz w:val="22"/>
                <w:szCs w:val="22"/>
              </w:rPr>
              <w:t>remediation</w:t>
            </w:r>
            <w:proofErr w:type="spellEnd"/>
            <w:r w:rsidRPr="00FC1826">
              <w:rPr>
                <w:sz w:val="22"/>
                <w:szCs w:val="22"/>
              </w:rPr>
              <w:t xml:space="preserve">. </w:t>
            </w:r>
          </w:p>
          <w:p w:rsidR="00FC1826" w:rsidRPr="00FC1826" w:rsidRDefault="00FC1826" w:rsidP="00FC1826">
            <w:pPr>
              <w:pStyle w:val="NormalWeb"/>
              <w:spacing w:before="120" w:beforeAutospacing="0" w:after="0" w:afterAutospacing="0"/>
              <w:jc w:val="both"/>
              <w:rPr>
                <w:sz w:val="22"/>
                <w:szCs w:val="22"/>
              </w:rPr>
            </w:pPr>
            <w:r w:rsidRPr="00FC1826">
              <w:rPr>
                <w:sz w:val="22"/>
                <w:szCs w:val="22"/>
              </w:rPr>
              <w:t xml:space="preserve">This doctoral </w:t>
            </w:r>
            <w:proofErr w:type="spellStart"/>
            <w:r w:rsidRPr="00FC1826">
              <w:rPr>
                <w:sz w:val="22"/>
                <w:szCs w:val="22"/>
              </w:rPr>
              <w:t>research</w:t>
            </w:r>
            <w:proofErr w:type="spellEnd"/>
            <w:r w:rsidRPr="00FC1826">
              <w:rPr>
                <w:sz w:val="22"/>
                <w:szCs w:val="22"/>
              </w:rPr>
              <w:t xml:space="preserve"> </w:t>
            </w:r>
            <w:proofErr w:type="spellStart"/>
            <w:r w:rsidRPr="00FC1826">
              <w:rPr>
                <w:sz w:val="22"/>
                <w:szCs w:val="22"/>
              </w:rPr>
              <w:t>forms</w:t>
            </w:r>
            <w:proofErr w:type="spellEnd"/>
            <w:r w:rsidRPr="00FC1826">
              <w:rPr>
                <w:sz w:val="22"/>
                <w:szCs w:val="22"/>
              </w:rPr>
              <w:t xml:space="preserve"> part of an </w:t>
            </w:r>
            <w:proofErr w:type="spellStart"/>
            <w:r w:rsidRPr="00FC1826">
              <w:rPr>
                <w:sz w:val="22"/>
                <w:szCs w:val="22"/>
              </w:rPr>
              <w:t>evaluation</w:t>
            </w:r>
            <w:proofErr w:type="spellEnd"/>
            <w:r w:rsidRPr="00FC1826">
              <w:rPr>
                <w:sz w:val="22"/>
                <w:szCs w:val="22"/>
              </w:rPr>
              <w:t xml:space="preserve"> of the Thélème </w:t>
            </w:r>
            <w:proofErr w:type="spellStart"/>
            <w:r w:rsidRPr="00FC1826">
              <w:rPr>
                <w:sz w:val="22"/>
                <w:szCs w:val="22"/>
              </w:rPr>
              <w:t>project</w:t>
            </w:r>
            <w:proofErr w:type="spellEnd"/>
            <w:r w:rsidRPr="00FC1826">
              <w:rPr>
                <w:sz w:val="22"/>
                <w:szCs w:val="22"/>
              </w:rPr>
              <w:t xml:space="preserve"> </w:t>
            </w:r>
            <w:proofErr w:type="spellStart"/>
            <w:r w:rsidRPr="00FC1826">
              <w:rPr>
                <w:sz w:val="22"/>
                <w:szCs w:val="22"/>
              </w:rPr>
              <w:t>under</w:t>
            </w:r>
            <w:proofErr w:type="spellEnd"/>
            <w:r w:rsidRPr="00FC1826">
              <w:rPr>
                <w:sz w:val="22"/>
                <w:szCs w:val="22"/>
              </w:rPr>
              <w:t xml:space="preserve"> the PIA NCU </w:t>
            </w:r>
            <w:proofErr w:type="spellStart"/>
            <w:r w:rsidRPr="00FC1826">
              <w:rPr>
                <w:sz w:val="22"/>
                <w:szCs w:val="22"/>
              </w:rPr>
              <w:t>framework</w:t>
            </w:r>
            <w:proofErr w:type="spellEnd"/>
            <w:r w:rsidRPr="00FC1826">
              <w:rPr>
                <w:sz w:val="22"/>
                <w:szCs w:val="22"/>
              </w:rPr>
              <w:t xml:space="preserve">, </w:t>
            </w:r>
            <w:proofErr w:type="spellStart"/>
            <w:r w:rsidRPr="00FC1826">
              <w:rPr>
                <w:sz w:val="22"/>
                <w:szCs w:val="22"/>
              </w:rPr>
              <w:t>focusing</w:t>
            </w:r>
            <w:proofErr w:type="spellEnd"/>
            <w:r w:rsidRPr="00FC1826">
              <w:rPr>
                <w:sz w:val="22"/>
                <w:szCs w:val="22"/>
              </w:rPr>
              <w:t xml:space="preserve"> on </w:t>
            </w:r>
            <w:proofErr w:type="spellStart"/>
            <w:r w:rsidRPr="00FC1826">
              <w:rPr>
                <w:sz w:val="22"/>
                <w:szCs w:val="22"/>
              </w:rPr>
              <w:t>its</w:t>
            </w:r>
            <w:proofErr w:type="spellEnd"/>
            <w:r w:rsidRPr="00FC1826">
              <w:rPr>
                <w:sz w:val="22"/>
                <w:szCs w:val="22"/>
              </w:rPr>
              <w:t xml:space="preserve"> </w:t>
            </w:r>
            <w:proofErr w:type="spellStart"/>
            <w:r w:rsidRPr="00FC1826">
              <w:rPr>
                <w:sz w:val="22"/>
                <w:szCs w:val="22"/>
              </w:rPr>
              <w:t>implementation</w:t>
            </w:r>
            <w:proofErr w:type="spellEnd"/>
            <w:r w:rsidRPr="00FC1826">
              <w:rPr>
                <w:sz w:val="22"/>
                <w:szCs w:val="22"/>
              </w:rPr>
              <w:t xml:space="preserve"> at Le Mans Université (LMU) </w:t>
            </w:r>
            <w:proofErr w:type="spellStart"/>
            <w:r w:rsidRPr="00FC1826">
              <w:rPr>
                <w:sz w:val="22"/>
                <w:szCs w:val="22"/>
              </w:rPr>
              <w:t>through</w:t>
            </w:r>
            <w:proofErr w:type="spellEnd"/>
            <w:r w:rsidRPr="00FC1826">
              <w:rPr>
                <w:sz w:val="22"/>
                <w:szCs w:val="22"/>
              </w:rPr>
              <w:t xml:space="preserve"> a dual </w:t>
            </w:r>
            <w:proofErr w:type="spellStart"/>
            <w:r w:rsidRPr="00FC1826">
              <w:rPr>
                <w:sz w:val="22"/>
                <w:szCs w:val="22"/>
              </w:rPr>
              <w:t>approach</w:t>
            </w:r>
            <w:proofErr w:type="spellEnd"/>
            <w:r w:rsidRPr="00FC1826">
              <w:rPr>
                <w:sz w:val="22"/>
                <w:szCs w:val="22"/>
              </w:rPr>
              <w:t xml:space="preserve">. First, </w:t>
            </w:r>
            <w:proofErr w:type="spellStart"/>
            <w:r w:rsidRPr="00FC1826">
              <w:rPr>
                <w:sz w:val="22"/>
                <w:szCs w:val="22"/>
              </w:rPr>
              <w:t>it</w:t>
            </w:r>
            <w:proofErr w:type="spellEnd"/>
            <w:r w:rsidRPr="00FC1826">
              <w:rPr>
                <w:sz w:val="22"/>
                <w:szCs w:val="22"/>
              </w:rPr>
              <w:t xml:space="preserve"> examines the </w:t>
            </w:r>
            <w:proofErr w:type="spellStart"/>
            <w:r w:rsidRPr="00FC1826">
              <w:rPr>
                <w:sz w:val="22"/>
                <w:szCs w:val="22"/>
              </w:rPr>
              <w:t>operationalization</w:t>
            </w:r>
            <w:proofErr w:type="spellEnd"/>
            <w:r w:rsidRPr="00FC1826">
              <w:rPr>
                <w:sz w:val="22"/>
                <w:szCs w:val="22"/>
              </w:rPr>
              <w:t xml:space="preserve"> of the </w:t>
            </w:r>
            <w:proofErr w:type="spellStart"/>
            <w:r w:rsidRPr="00FC1826">
              <w:rPr>
                <w:sz w:val="22"/>
                <w:szCs w:val="22"/>
              </w:rPr>
              <w:t>project</w:t>
            </w:r>
            <w:proofErr w:type="spellEnd"/>
            <w:r w:rsidRPr="00FC1826">
              <w:rPr>
                <w:sz w:val="22"/>
                <w:szCs w:val="22"/>
              </w:rPr>
              <w:t xml:space="preserve">, </w:t>
            </w:r>
            <w:proofErr w:type="spellStart"/>
            <w:r w:rsidRPr="00FC1826">
              <w:rPr>
                <w:sz w:val="22"/>
                <w:szCs w:val="22"/>
              </w:rPr>
              <w:t>analyzing</w:t>
            </w:r>
            <w:proofErr w:type="spellEnd"/>
            <w:r w:rsidRPr="00FC1826">
              <w:rPr>
                <w:sz w:val="22"/>
                <w:szCs w:val="22"/>
              </w:rPr>
              <w:t xml:space="preserve"> </w:t>
            </w:r>
            <w:proofErr w:type="spellStart"/>
            <w:r w:rsidRPr="00FC1826">
              <w:rPr>
                <w:sz w:val="22"/>
                <w:szCs w:val="22"/>
              </w:rPr>
              <w:t>both</w:t>
            </w:r>
            <w:proofErr w:type="spellEnd"/>
            <w:r w:rsidRPr="00FC1826">
              <w:rPr>
                <w:sz w:val="22"/>
                <w:szCs w:val="22"/>
              </w:rPr>
              <w:t xml:space="preserve"> the </w:t>
            </w:r>
            <w:proofErr w:type="spellStart"/>
            <w:r w:rsidRPr="00FC1826">
              <w:rPr>
                <w:sz w:val="22"/>
                <w:szCs w:val="22"/>
              </w:rPr>
              <w:t>remedial</w:t>
            </w:r>
            <w:proofErr w:type="spellEnd"/>
            <w:r w:rsidRPr="00FC1826">
              <w:rPr>
                <w:sz w:val="22"/>
                <w:szCs w:val="22"/>
              </w:rPr>
              <w:t xml:space="preserve"> </w:t>
            </w:r>
            <w:proofErr w:type="spellStart"/>
            <w:r w:rsidRPr="00FC1826">
              <w:rPr>
                <w:sz w:val="22"/>
                <w:szCs w:val="22"/>
              </w:rPr>
              <w:t>offerings</w:t>
            </w:r>
            <w:proofErr w:type="spellEnd"/>
            <w:r w:rsidRPr="00FC1826">
              <w:rPr>
                <w:sz w:val="22"/>
                <w:szCs w:val="22"/>
              </w:rPr>
              <w:t xml:space="preserve"> and </w:t>
            </w:r>
            <w:proofErr w:type="spellStart"/>
            <w:r w:rsidRPr="00FC1826">
              <w:rPr>
                <w:sz w:val="22"/>
                <w:szCs w:val="22"/>
              </w:rPr>
              <w:t>their</w:t>
            </w:r>
            <w:proofErr w:type="spellEnd"/>
            <w:r w:rsidRPr="00FC1826">
              <w:rPr>
                <w:sz w:val="22"/>
                <w:szCs w:val="22"/>
              </w:rPr>
              <w:t xml:space="preserve"> </w:t>
            </w:r>
            <w:proofErr w:type="spellStart"/>
            <w:r w:rsidRPr="00FC1826">
              <w:rPr>
                <w:sz w:val="22"/>
                <w:szCs w:val="22"/>
              </w:rPr>
              <w:t>governance</w:t>
            </w:r>
            <w:proofErr w:type="spellEnd"/>
            <w:r w:rsidRPr="00FC1826">
              <w:rPr>
                <w:sz w:val="22"/>
                <w:szCs w:val="22"/>
              </w:rPr>
              <w:t xml:space="preserve">. This </w:t>
            </w:r>
            <w:proofErr w:type="spellStart"/>
            <w:r w:rsidRPr="00FC1826">
              <w:rPr>
                <w:sz w:val="22"/>
                <w:szCs w:val="22"/>
              </w:rPr>
              <w:t>analysis</w:t>
            </w:r>
            <w:proofErr w:type="spellEnd"/>
            <w:r w:rsidRPr="00FC1826">
              <w:rPr>
                <w:sz w:val="22"/>
                <w:szCs w:val="22"/>
              </w:rPr>
              <w:t xml:space="preserve"> </w:t>
            </w:r>
            <w:proofErr w:type="spellStart"/>
            <w:r w:rsidRPr="00FC1826">
              <w:rPr>
                <w:sz w:val="22"/>
                <w:szCs w:val="22"/>
              </w:rPr>
              <w:t>is</w:t>
            </w:r>
            <w:proofErr w:type="spellEnd"/>
            <w:r w:rsidRPr="00FC1826">
              <w:rPr>
                <w:sz w:val="22"/>
                <w:szCs w:val="22"/>
              </w:rPr>
              <w:t xml:space="preserve"> </w:t>
            </w:r>
            <w:proofErr w:type="spellStart"/>
            <w:r w:rsidRPr="00FC1826">
              <w:rPr>
                <w:sz w:val="22"/>
                <w:szCs w:val="22"/>
              </w:rPr>
              <w:t>grounded</w:t>
            </w:r>
            <w:proofErr w:type="spellEnd"/>
            <w:r w:rsidRPr="00FC1826">
              <w:rPr>
                <w:sz w:val="22"/>
                <w:szCs w:val="22"/>
              </w:rPr>
              <w:t xml:space="preserve"> in an </w:t>
            </w:r>
            <w:proofErr w:type="spellStart"/>
            <w:r w:rsidRPr="00FC1826">
              <w:rPr>
                <w:sz w:val="22"/>
                <w:szCs w:val="22"/>
              </w:rPr>
              <w:t>ethnographic</w:t>
            </w:r>
            <w:proofErr w:type="spellEnd"/>
            <w:r w:rsidRPr="00FC1826">
              <w:rPr>
                <w:sz w:val="22"/>
                <w:szCs w:val="22"/>
              </w:rPr>
              <w:t xml:space="preserve"> </w:t>
            </w:r>
            <w:proofErr w:type="spellStart"/>
            <w:r w:rsidRPr="00FC1826">
              <w:rPr>
                <w:sz w:val="22"/>
                <w:szCs w:val="22"/>
              </w:rPr>
              <w:t>study</w:t>
            </w:r>
            <w:proofErr w:type="spellEnd"/>
            <w:r w:rsidRPr="00FC1826">
              <w:rPr>
                <w:sz w:val="22"/>
                <w:szCs w:val="22"/>
              </w:rPr>
              <w:t xml:space="preserve"> </w:t>
            </w:r>
            <w:proofErr w:type="spellStart"/>
            <w:r w:rsidRPr="00FC1826">
              <w:rPr>
                <w:sz w:val="22"/>
                <w:szCs w:val="22"/>
              </w:rPr>
              <w:t>complemented</w:t>
            </w:r>
            <w:proofErr w:type="spellEnd"/>
            <w:r w:rsidRPr="00FC1826">
              <w:rPr>
                <w:sz w:val="22"/>
                <w:szCs w:val="22"/>
              </w:rPr>
              <w:t xml:space="preserve"> by semi-</w:t>
            </w:r>
            <w:proofErr w:type="spellStart"/>
            <w:r w:rsidRPr="00FC1826">
              <w:rPr>
                <w:sz w:val="22"/>
                <w:szCs w:val="22"/>
              </w:rPr>
              <w:t>structured</w:t>
            </w:r>
            <w:proofErr w:type="spellEnd"/>
            <w:r w:rsidRPr="00FC1826">
              <w:rPr>
                <w:sz w:val="22"/>
                <w:szCs w:val="22"/>
              </w:rPr>
              <w:t xml:space="preserve"> interviews. The </w:t>
            </w:r>
            <w:proofErr w:type="spellStart"/>
            <w:r w:rsidRPr="00FC1826">
              <w:rPr>
                <w:sz w:val="22"/>
                <w:szCs w:val="22"/>
              </w:rPr>
              <w:t>findings</w:t>
            </w:r>
            <w:proofErr w:type="spellEnd"/>
            <w:r w:rsidRPr="00FC1826">
              <w:rPr>
                <w:sz w:val="22"/>
                <w:szCs w:val="22"/>
              </w:rPr>
              <w:t xml:space="preserve"> </w:t>
            </w:r>
            <w:proofErr w:type="spellStart"/>
            <w:r w:rsidRPr="00FC1826">
              <w:rPr>
                <w:sz w:val="22"/>
                <w:szCs w:val="22"/>
              </w:rPr>
              <w:t>reveal</w:t>
            </w:r>
            <w:proofErr w:type="spellEnd"/>
            <w:r w:rsidRPr="00FC1826">
              <w:rPr>
                <w:sz w:val="22"/>
                <w:szCs w:val="22"/>
              </w:rPr>
              <w:t xml:space="preserve"> </w:t>
            </w:r>
            <w:proofErr w:type="spellStart"/>
            <w:r w:rsidRPr="00FC1826">
              <w:rPr>
                <w:sz w:val="22"/>
                <w:szCs w:val="22"/>
              </w:rPr>
              <w:t>that</w:t>
            </w:r>
            <w:proofErr w:type="spellEnd"/>
            <w:r w:rsidRPr="00FC1826">
              <w:rPr>
                <w:sz w:val="22"/>
                <w:szCs w:val="22"/>
              </w:rPr>
              <w:t xml:space="preserve"> the </w:t>
            </w:r>
            <w:proofErr w:type="spellStart"/>
            <w:r w:rsidRPr="00FC1826">
              <w:rPr>
                <w:sz w:val="22"/>
                <w:szCs w:val="22"/>
              </w:rPr>
              <w:t>practical</w:t>
            </w:r>
            <w:proofErr w:type="spellEnd"/>
            <w:r w:rsidRPr="00FC1826">
              <w:rPr>
                <w:sz w:val="22"/>
                <w:szCs w:val="22"/>
              </w:rPr>
              <w:t xml:space="preserve"> </w:t>
            </w:r>
            <w:proofErr w:type="spellStart"/>
            <w:r w:rsidRPr="00FC1826">
              <w:rPr>
                <w:sz w:val="22"/>
                <w:szCs w:val="22"/>
              </w:rPr>
              <w:t>implementation</w:t>
            </w:r>
            <w:proofErr w:type="spellEnd"/>
            <w:r w:rsidRPr="00FC1826">
              <w:rPr>
                <w:sz w:val="22"/>
                <w:szCs w:val="22"/>
              </w:rPr>
              <w:t xml:space="preserve"> of the Thélème </w:t>
            </w:r>
            <w:proofErr w:type="spellStart"/>
            <w:r w:rsidRPr="00FC1826">
              <w:rPr>
                <w:sz w:val="22"/>
                <w:szCs w:val="22"/>
              </w:rPr>
              <w:t>project</w:t>
            </w:r>
            <w:proofErr w:type="spellEnd"/>
            <w:r w:rsidRPr="00FC1826">
              <w:rPr>
                <w:sz w:val="22"/>
                <w:szCs w:val="22"/>
              </w:rPr>
              <w:t xml:space="preserve"> at LMU, </w:t>
            </w:r>
            <w:proofErr w:type="spellStart"/>
            <w:r w:rsidRPr="00FC1826">
              <w:rPr>
                <w:sz w:val="22"/>
                <w:szCs w:val="22"/>
              </w:rPr>
              <w:t>confronted</w:t>
            </w:r>
            <w:proofErr w:type="spellEnd"/>
            <w:r w:rsidRPr="00FC1826">
              <w:rPr>
                <w:sz w:val="22"/>
                <w:szCs w:val="22"/>
              </w:rPr>
              <w:t xml:space="preserve"> </w:t>
            </w:r>
            <w:proofErr w:type="spellStart"/>
            <w:r w:rsidRPr="00FC1826">
              <w:rPr>
                <w:sz w:val="22"/>
                <w:szCs w:val="22"/>
              </w:rPr>
              <w:t>with</w:t>
            </w:r>
            <w:proofErr w:type="spellEnd"/>
            <w:r w:rsidRPr="00FC1826">
              <w:rPr>
                <w:sz w:val="22"/>
                <w:szCs w:val="22"/>
              </w:rPr>
              <w:t xml:space="preserve"> a </w:t>
            </w:r>
            <w:proofErr w:type="spellStart"/>
            <w:r w:rsidRPr="00FC1826">
              <w:rPr>
                <w:sz w:val="22"/>
                <w:szCs w:val="22"/>
              </w:rPr>
              <w:t>variety</w:t>
            </w:r>
            <w:proofErr w:type="spellEnd"/>
            <w:r w:rsidRPr="00FC1826">
              <w:rPr>
                <w:sz w:val="22"/>
                <w:szCs w:val="22"/>
              </w:rPr>
              <w:t xml:space="preserve"> of </w:t>
            </w:r>
            <w:proofErr w:type="spellStart"/>
            <w:r w:rsidRPr="00FC1826">
              <w:rPr>
                <w:sz w:val="22"/>
                <w:szCs w:val="22"/>
              </w:rPr>
              <w:t>actor</w:t>
            </w:r>
            <w:proofErr w:type="spellEnd"/>
            <w:r w:rsidRPr="00FC1826">
              <w:rPr>
                <w:sz w:val="22"/>
                <w:szCs w:val="22"/>
              </w:rPr>
              <w:t xml:space="preserve"> </w:t>
            </w:r>
            <w:proofErr w:type="spellStart"/>
            <w:r w:rsidRPr="00FC1826">
              <w:rPr>
                <w:sz w:val="22"/>
                <w:szCs w:val="22"/>
              </w:rPr>
              <w:t>rationalities</w:t>
            </w:r>
            <w:proofErr w:type="spellEnd"/>
            <w:r w:rsidRPr="00FC1826">
              <w:rPr>
                <w:sz w:val="22"/>
                <w:szCs w:val="22"/>
              </w:rPr>
              <w:t xml:space="preserve">, </w:t>
            </w:r>
            <w:proofErr w:type="spellStart"/>
            <w:r w:rsidRPr="00FC1826">
              <w:rPr>
                <w:sz w:val="22"/>
                <w:szCs w:val="22"/>
              </w:rPr>
              <w:t>hinders</w:t>
            </w:r>
            <w:proofErr w:type="spellEnd"/>
            <w:r w:rsidRPr="00FC1826">
              <w:rPr>
                <w:sz w:val="22"/>
                <w:szCs w:val="22"/>
              </w:rPr>
              <w:t xml:space="preserve"> </w:t>
            </w:r>
            <w:proofErr w:type="spellStart"/>
            <w:r w:rsidRPr="00FC1826">
              <w:rPr>
                <w:sz w:val="22"/>
                <w:szCs w:val="22"/>
              </w:rPr>
              <w:t>its</w:t>
            </w:r>
            <w:proofErr w:type="spellEnd"/>
            <w:r w:rsidRPr="00FC1826">
              <w:rPr>
                <w:sz w:val="22"/>
                <w:szCs w:val="22"/>
              </w:rPr>
              <w:t xml:space="preserve"> large-</w:t>
            </w:r>
            <w:proofErr w:type="spellStart"/>
            <w:r w:rsidRPr="00FC1826">
              <w:rPr>
                <w:sz w:val="22"/>
                <w:szCs w:val="22"/>
              </w:rPr>
              <w:t>scale</w:t>
            </w:r>
            <w:proofErr w:type="spellEnd"/>
            <w:r w:rsidRPr="00FC1826">
              <w:rPr>
                <w:sz w:val="22"/>
                <w:szCs w:val="22"/>
              </w:rPr>
              <w:t xml:space="preserve"> </w:t>
            </w:r>
            <w:proofErr w:type="spellStart"/>
            <w:r w:rsidRPr="00FC1826">
              <w:rPr>
                <w:sz w:val="22"/>
                <w:szCs w:val="22"/>
              </w:rPr>
              <w:t>deployment</w:t>
            </w:r>
            <w:proofErr w:type="spellEnd"/>
            <w:r w:rsidRPr="00FC1826">
              <w:rPr>
                <w:sz w:val="22"/>
                <w:szCs w:val="22"/>
              </w:rPr>
              <w:t xml:space="preserve">. Second, </w:t>
            </w:r>
            <w:proofErr w:type="spellStart"/>
            <w:r w:rsidRPr="00FC1826">
              <w:rPr>
                <w:sz w:val="22"/>
                <w:szCs w:val="22"/>
              </w:rPr>
              <w:t>adopting</w:t>
            </w:r>
            <w:proofErr w:type="spellEnd"/>
            <w:r w:rsidRPr="00FC1826">
              <w:rPr>
                <w:sz w:val="22"/>
                <w:szCs w:val="22"/>
              </w:rPr>
              <w:t xml:space="preserve"> a perspective </w:t>
            </w:r>
            <w:proofErr w:type="spellStart"/>
            <w:r w:rsidRPr="00FC1826">
              <w:rPr>
                <w:sz w:val="22"/>
                <w:szCs w:val="22"/>
              </w:rPr>
              <w:t>focused</w:t>
            </w:r>
            <w:proofErr w:type="spellEnd"/>
            <w:r w:rsidRPr="00FC1826">
              <w:rPr>
                <w:sz w:val="22"/>
                <w:szCs w:val="22"/>
              </w:rPr>
              <w:t xml:space="preserve"> on the social articulation of the </w:t>
            </w:r>
            <w:proofErr w:type="spellStart"/>
            <w:r w:rsidRPr="00FC1826">
              <w:rPr>
                <w:sz w:val="22"/>
                <w:szCs w:val="22"/>
              </w:rPr>
              <w:t>remediation</w:t>
            </w:r>
            <w:proofErr w:type="spellEnd"/>
            <w:r w:rsidRPr="00FC1826">
              <w:rPr>
                <w:sz w:val="22"/>
                <w:szCs w:val="22"/>
              </w:rPr>
              <w:t xml:space="preserve"> </w:t>
            </w:r>
            <w:proofErr w:type="spellStart"/>
            <w:r w:rsidRPr="00FC1826">
              <w:rPr>
                <w:sz w:val="22"/>
                <w:szCs w:val="22"/>
              </w:rPr>
              <w:t>offer</w:t>
            </w:r>
            <w:proofErr w:type="spellEnd"/>
            <w:r w:rsidRPr="00FC1826">
              <w:rPr>
                <w:sz w:val="22"/>
                <w:szCs w:val="22"/>
              </w:rPr>
              <w:t xml:space="preserve">, the </w:t>
            </w:r>
            <w:proofErr w:type="spellStart"/>
            <w:r w:rsidRPr="00FC1826">
              <w:rPr>
                <w:sz w:val="22"/>
                <w:szCs w:val="22"/>
              </w:rPr>
              <w:t>thesis</w:t>
            </w:r>
            <w:proofErr w:type="spellEnd"/>
            <w:r w:rsidRPr="00FC1826">
              <w:rPr>
                <w:sz w:val="22"/>
                <w:szCs w:val="22"/>
              </w:rPr>
              <w:t xml:space="preserve"> explores the </w:t>
            </w:r>
            <w:proofErr w:type="spellStart"/>
            <w:r w:rsidRPr="00FC1826">
              <w:rPr>
                <w:sz w:val="22"/>
                <w:szCs w:val="22"/>
              </w:rPr>
              <w:t>reception</w:t>
            </w:r>
            <w:proofErr w:type="spellEnd"/>
            <w:r w:rsidRPr="00FC1826">
              <w:rPr>
                <w:sz w:val="22"/>
                <w:szCs w:val="22"/>
              </w:rPr>
              <w:t xml:space="preserve"> of the </w:t>
            </w:r>
            <w:proofErr w:type="spellStart"/>
            <w:r w:rsidRPr="00FC1826">
              <w:rPr>
                <w:sz w:val="22"/>
                <w:szCs w:val="22"/>
              </w:rPr>
              <w:t>project</w:t>
            </w:r>
            <w:proofErr w:type="spellEnd"/>
            <w:r w:rsidRPr="00FC1826">
              <w:rPr>
                <w:sz w:val="22"/>
                <w:szCs w:val="22"/>
              </w:rPr>
              <w:t xml:space="preserve"> and </w:t>
            </w:r>
            <w:proofErr w:type="spellStart"/>
            <w:r w:rsidRPr="00FC1826">
              <w:rPr>
                <w:sz w:val="22"/>
                <w:szCs w:val="22"/>
              </w:rPr>
              <w:t>its</w:t>
            </w:r>
            <w:proofErr w:type="spellEnd"/>
            <w:r w:rsidRPr="00FC1826">
              <w:rPr>
                <w:sz w:val="22"/>
                <w:szCs w:val="22"/>
              </w:rPr>
              <w:t xml:space="preserve"> impact on </w:t>
            </w:r>
            <w:proofErr w:type="spellStart"/>
            <w:r w:rsidRPr="00FC1826">
              <w:rPr>
                <w:sz w:val="22"/>
                <w:szCs w:val="22"/>
              </w:rPr>
              <w:t>students</w:t>
            </w:r>
            <w:proofErr w:type="spellEnd"/>
            <w:r w:rsidRPr="00FC1826">
              <w:rPr>
                <w:sz w:val="22"/>
                <w:szCs w:val="22"/>
              </w:rPr>
              <w:t xml:space="preserve">’ </w:t>
            </w:r>
            <w:proofErr w:type="spellStart"/>
            <w:r w:rsidRPr="00FC1826">
              <w:rPr>
                <w:sz w:val="22"/>
                <w:szCs w:val="22"/>
              </w:rPr>
              <w:t>trajectories</w:t>
            </w:r>
            <w:proofErr w:type="spellEnd"/>
            <w:r w:rsidRPr="00FC1826">
              <w:rPr>
                <w:sz w:val="22"/>
                <w:szCs w:val="22"/>
              </w:rPr>
              <w:t xml:space="preserve"> and </w:t>
            </w:r>
            <w:proofErr w:type="spellStart"/>
            <w:r w:rsidRPr="00FC1826">
              <w:rPr>
                <w:sz w:val="22"/>
                <w:szCs w:val="22"/>
              </w:rPr>
              <w:t>academic</w:t>
            </w:r>
            <w:proofErr w:type="spellEnd"/>
            <w:r w:rsidRPr="00FC1826">
              <w:rPr>
                <w:sz w:val="22"/>
                <w:szCs w:val="22"/>
              </w:rPr>
              <w:t xml:space="preserve"> </w:t>
            </w:r>
            <w:proofErr w:type="spellStart"/>
            <w:r w:rsidRPr="00FC1826">
              <w:rPr>
                <w:sz w:val="22"/>
                <w:szCs w:val="22"/>
              </w:rPr>
              <w:t>success</w:t>
            </w:r>
            <w:proofErr w:type="spellEnd"/>
            <w:r w:rsidRPr="00FC1826">
              <w:rPr>
                <w:sz w:val="22"/>
                <w:szCs w:val="22"/>
              </w:rPr>
              <w:t xml:space="preserve">. The </w:t>
            </w:r>
            <w:proofErr w:type="spellStart"/>
            <w:r w:rsidRPr="00FC1826">
              <w:rPr>
                <w:sz w:val="22"/>
                <w:szCs w:val="22"/>
              </w:rPr>
              <w:t>study</w:t>
            </w:r>
            <w:proofErr w:type="spellEnd"/>
            <w:r w:rsidRPr="00FC1826">
              <w:rPr>
                <w:sz w:val="22"/>
                <w:szCs w:val="22"/>
              </w:rPr>
              <w:t xml:space="preserve"> </w:t>
            </w:r>
            <w:proofErr w:type="spellStart"/>
            <w:r w:rsidRPr="00FC1826">
              <w:rPr>
                <w:sz w:val="22"/>
                <w:szCs w:val="22"/>
              </w:rPr>
              <w:t>is</w:t>
            </w:r>
            <w:proofErr w:type="spellEnd"/>
            <w:r w:rsidRPr="00FC1826">
              <w:rPr>
                <w:sz w:val="22"/>
                <w:szCs w:val="22"/>
              </w:rPr>
              <w:t xml:space="preserve"> </w:t>
            </w:r>
            <w:proofErr w:type="spellStart"/>
            <w:r w:rsidRPr="00FC1826">
              <w:rPr>
                <w:sz w:val="22"/>
                <w:szCs w:val="22"/>
              </w:rPr>
              <w:t>based</w:t>
            </w:r>
            <w:proofErr w:type="spellEnd"/>
            <w:r w:rsidRPr="00FC1826">
              <w:rPr>
                <w:sz w:val="22"/>
                <w:szCs w:val="22"/>
              </w:rPr>
              <w:t xml:space="preserve"> on the longitudinal monitoring of a </w:t>
            </w:r>
            <w:proofErr w:type="spellStart"/>
            <w:r w:rsidRPr="00FC1826">
              <w:rPr>
                <w:sz w:val="22"/>
                <w:szCs w:val="22"/>
              </w:rPr>
              <w:t>cohort</w:t>
            </w:r>
            <w:proofErr w:type="spellEnd"/>
            <w:r w:rsidRPr="00FC1826">
              <w:rPr>
                <w:sz w:val="22"/>
                <w:szCs w:val="22"/>
              </w:rPr>
              <w:t xml:space="preserve"> of 1,989 </w:t>
            </w:r>
            <w:proofErr w:type="spellStart"/>
            <w:r w:rsidRPr="00FC1826">
              <w:rPr>
                <w:sz w:val="22"/>
                <w:szCs w:val="22"/>
              </w:rPr>
              <w:t>students</w:t>
            </w:r>
            <w:proofErr w:type="spellEnd"/>
            <w:r w:rsidRPr="00FC1826">
              <w:rPr>
                <w:sz w:val="22"/>
                <w:szCs w:val="22"/>
              </w:rPr>
              <w:t xml:space="preserve"> over </w:t>
            </w:r>
            <w:proofErr w:type="spellStart"/>
            <w:r w:rsidRPr="00FC1826">
              <w:rPr>
                <w:sz w:val="22"/>
                <w:szCs w:val="22"/>
              </w:rPr>
              <w:t>three</w:t>
            </w:r>
            <w:proofErr w:type="spellEnd"/>
            <w:r w:rsidRPr="00FC1826">
              <w:rPr>
                <w:sz w:val="22"/>
                <w:szCs w:val="22"/>
              </w:rPr>
              <w:t xml:space="preserve"> </w:t>
            </w:r>
            <w:proofErr w:type="spellStart"/>
            <w:r w:rsidRPr="00FC1826">
              <w:rPr>
                <w:sz w:val="22"/>
                <w:szCs w:val="22"/>
              </w:rPr>
              <w:t>years</w:t>
            </w:r>
            <w:proofErr w:type="spellEnd"/>
            <w:r w:rsidRPr="00FC1826">
              <w:rPr>
                <w:sz w:val="22"/>
                <w:szCs w:val="22"/>
              </w:rPr>
              <w:t xml:space="preserve">, </w:t>
            </w:r>
            <w:proofErr w:type="spellStart"/>
            <w:r w:rsidRPr="00FC1826">
              <w:rPr>
                <w:sz w:val="22"/>
                <w:szCs w:val="22"/>
              </w:rPr>
              <w:t>through</w:t>
            </w:r>
            <w:proofErr w:type="spellEnd"/>
            <w:r w:rsidRPr="00FC1826">
              <w:rPr>
                <w:sz w:val="22"/>
                <w:szCs w:val="22"/>
              </w:rPr>
              <w:t xml:space="preserve"> questionnaires and semi-</w:t>
            </w:r>
            <w:proofErr w:type="spellStart"/>
            <w:r w:rsidRPr="00FC1826">
              <w:rPr>
                <w:sz w:val="22"/>
                <w:szCs w:val="22"/>
              </w:rPr>
              <w:t>structured</w:t>
            </w:r>
            <w:proofErr w:type="spellEnd"/>
            <w:r w:rsidRPr="00FC1826">
              <w:rPr>
                <w:sz w:val="22"/>
                <w:szCs w:val="22"/>
              </w:rPr>
              <w:t xml:space="preserve"> interviews, </w:t>
            </w:r>
            <w:proofErr w:type="spellStart"/>
            <w:r w:rsidRPr="00FC1826">
              <w:rPr>
                <w:sz w:val="22"/>
                <w:szCs w:val="22"/>
              </w:rPr>
              <w:t>from</w:t>
            </w:r>
            <w:proofErr w:type="spellEnd"/>
            <w:r w:rsidRPr="00FC1826">
              <w:rPr>
                <w:sz w:val="22"/>
                <w:szCs w:val="22"/>
              </w:rPr>
              <w:t xml:space="preserve"> </w:t>
            </w:r>
            <w:proofErr w:type="spellStart"/>
            <w:r w:rsidRPr="00FC1826">
              <w:rPr>
                <w:sz w:val="22"/>
                <w:szCs w:val="22"/>
              </w:rPr>
              <w:t>their</w:t>
            </w:r>
            <w:proofErr w:type="spellEnd"/>
            <w:r w:rsidRPr="00FC1826">
              <w:rPr>
                <w:sz w:val="22"/>
                <w:szCs w:val="22"/>
              </w:rPr>
              <w:t xml:space="preserve"> initial </w:t>
            </w:r>
            <w:proofErr w:type="spellStart"/>
            <w:r w:rsidRPr="00FC1826">
              <w:rPr>
                <w:sz w:val="22"/>
                <w:szCs w:val="22"/>
              </w:rPr>
              <w:t>enrollment</w:t>
            </w:r>
            <w:proofErr w:type="spellEnd"/>
            <w:r w:rsidRPr="00FC1826">
              <w:rPr>
                <w:sz w:val="22"/>
                <w:szCs w:val="22"/>
              </w:rPr>
              <w:t xml:space="preserve"> in a </w:t>
            </w:r>
            <w:proofErr w:type="spellStart"/>
            <w:r w:rsidRPr="00FC1826">
              <w:rPr>
                <w:sz w:val="22"/>
                <w:szCs w:val="22"/>
              </w:rPr>
              <w:t>bachelor's</w:t>
            </w:r>
            <w:proofErr w:type="spellEnd"/>
            <w:r w:rsidRPr="00FC1826">
              <w:rPr>
                <w:sz w:val="22"/>
                <w:szCs w:val="22"/>
              </w:rPr>
              <w:t xml:space="preserve"> program </w:t>
            </w:r>
            <w:proofErr w:type="spellStart"/>
            <w:r w:rsidRPr="00FC1826">
              <w:rPr>
                <w:sz w:val="22"/>
                <w:szCs w:val="22"/>
              </w:rPr>
              <w:t>in</w:t>
            </w:r>
            <w:proofErr w:type="spellEnd"/>
            <w:r w:rsidRPr="00FC1826">
              <w:rPr>
                <w:sz w:val="22"/>
                <w:szCs w:val="22"/>
              </w:rPr>
              <w:t xml:space="preserve"> 2019-2020 </w:t>
            </w:r>
            <w:proofErr w:type="spellStart"/>
            <w:r w:rsidRPr="00FC1826">
              <w:rPr>
                <w:sz w:val="22"/>
                <w:szCs w:val="22"/>
              </w:rPr>
              <w:t>until</w:t>
            </w:r>
            <w:proofErr w:type="spellEnd"/>
            <w:r w:rsidRPr="00FC1826">
              <w:rPr>
                <w:sz w:val="22"/>
                <w:szCs w:val="22"/>
              </w:rPr>
              <w:t xml:space="preserve"> 2021-2022. The </w:t>
            </w:r>
            <w:proofErr w:type="spellStart"/>
            <w:r w:rsidRPr="00FC1826">
              <w:rPr>
                <w:sz w:val="22"/>
                <w:szCs w:val="22"/>
              </w:rPr>
              <w:t>results</w:t>
            </w:r>
            <w:proofErr w:type="spellEnd"/>
            <w:r w:rsidRPr="00FC1826">
              <w:rPr>
                <w:sz w:val="22"/>
                <w:szCs w:val="22"/>
              </w:rPr>
              <w:t xml:space="preserve"> show </w:t>
            </w:r>
            <w:proofErr w:type="spellStart"/>
            <w:r w:rsidRPr="00FC1826">
              <w:rPr>
                <w:sz w:val="22"/>
                <w:szCs w:val="22"/>
              </w:rPr>
              <w:t>that</w:t>
            </w:r>
            <w:proofErr w:type="spellEnd"/>
            <w:r w:rsidRPr="00FC1826">
              <w:rPr>
                <w:sz w:val="22"/>
                <w:szCs w:val="22"/>
              </w:rPr>
              <w:t xml:space="preserve"> </w:t>
            </w:r>
            <w:proofErr w:type="spellStart"/>
            <w:r w:rsidRPr="00FC1826">
              <w:rPr>
                <w:sz w:val="22"/>
                <w:szCs w:val="22"/>
              </w:rPr>
              <w:t>while</w:t>
            </w:r>
            <w:proofErr w:type="spellEnd"/>
            <w:r w:rsidRPr="00FC1826">
              <w:rPr>
                <w:sz w:val="22"/>
                <w:szCs w:val="22"/>
              </w:rPr>
              <w:t xml:space="preserve"> </w:t>
            </w:r>
            <w:proofErr w:type="spellStart"/>
            <w:r w:rsidRPr="00FC1826">
              <w:rPr>
                <w:sz w:val="22"/>
                <w:szCs w:val="22"/>
              </w:rPr>
              <w:t>remedial</w:t>
            </w:r>
            <w:proofErr w:type="spellEnd"/>
            <w:r w:rsidRPr="00FC1826">
              <w:rPr>
                <w:sz w:val="22"/>
                <w:szCs w:val="22"/>
              </w:rPr>
              <w:t xml:space="preserve"> </w:t>
            </w:r>
            <w:proofErr w:type="spellStart"/>
            <w:r w:rsidRPr="00FC1826">
              <w:rPr>
                <w:sz w:val="22"/>
                <w:szCs w:val="22"/>
              </w:rPr>
              <w:t>measures</w:t>
            </w:r>
            <w:proofErr w:type="spellEnd"/>
            <w:r w:rsidRPr="00FC1826">
              <w:rPr>
                <w:sz w:val="22"/>
                <w:szCs w:val="22"/>
              </w:rPr>
              <w:t xml:space="preserve"> – </w:t>
            </w:r>
            <w:proofErr w:type="spellStart"/>
            <w:r w:rsidRPr="00FC1826">
              <w:rPr>
                <w:sz w:val="22"/>
                <w:szCs w:val="22"/>
              </w:rPr>
              <w:t>such</w:t>
            </w:r>
            <w:proofErr w:type="spellEnd"/>
            <w:r w:rsidRPr="00FC1826">
              <w:rPr>
                <w:sz w:val="22"/>
                <w:szCs w:val="22"/>
              </w:rPr>
              <w:t xml:space="preserve"> as </w:t>
            </w:r>
            <w:proofErr w:type="spellStart"/>
            <w:r w:rsidRPr="00FC1826">
              <w:rPr>
                <w:sz w:val="22"/>
                <w:szCs w:val="22"/>
              </w:rPr>
              <w:t>tutoring</w:t>
            </w:r>
            <w:proofErr w:type="spellEnd"/>
            <w:r w:rsidRPr="00FC1826">
              <w:rPr>
                <w:sz w:val="22"/>
                <w:szCs w:val="22"/>
              </w:rPr>
              <w:t xml:space="preserve"> or the option to </w:t>
            </w:r>
            <w:proofErr w:type="spellStart"/>
            <w:r w:rsidRPr="00FC1826">
              <w:rPr>
                <w:sz w:val="22"/>
                <w:szCs w:val="22"/>
              </w:rPr>
              <w:t>complete</w:t>
            </w:r>
            <w:proofErr w:type="spellEnd"/>
            <w:r w:rsidRPr="00FC1826">
              <w:rPr>
                <w:sz w:val="22"/>
                <w:szCs w:val="22"/>
              </w:rPr>
              <w:t xml:space="preserve"> the first </w:t>
            </w:r>
            <w:proofErr w:type="spellStart"/>
            <w:r w:rsidRPr="00FC1826">
              <w:rPr>
                <w:sz w:val="22"/>
                <w:szCs w:val="22"/>
              </w:rPr>
              <w:t>year</w:t>
            </w:r>
            <w:proofErr w:type="spellEnd"/>
            <w:r w:rsidRPr="00FC1826">
              <w:rPr>
                <w:sz w:val="22"/>
                <w:szCs w:val="22"/>
              </w:rPr>
              <w:t xml:space="preserve"> of the </w:t>
            </w:r>
            <w:proofErr w:type="spellStart"/>
            <w:r w:rsidRPr="00FC1826">
              <w:rPr>
                <w:sz w:val="22"/>
                <w:szCs w:val="22"/>
              </w:rPr>
              <w:t>bachelor's</w:t>
            </w:r>
            <w:proofErr w:type="spellEnd"/>
            <w:r w:rsidRPr="00FC1826">
              <w:rPr>
                <w:sz w:val="22"/>
                <w:szCs w:val="22"/>
              </w:rPr>
              <w:t xml:space="preserve"> </w:t>
            </w:r>
            <w:proofErr w:type="spellStart"/>
            <w:r w:rsidRPr="00FC1826">
              <w:rPr>
                <w:sz w:val="22"/>
                <w:szCs w:val="22"/>
              </w:rPr>
              <w:t>degree</w:t>
            </w:r>
            <w:proofErr w:type="spellEnd"/>
            <w:r w:rsidRPr="00FC1826">
              <w:rPr>
                <w:sz w:val="22"/>
                <w:szCs w:val="22"/>
              </w:rPr>
              <w:t xml:space="preserve"> over </w:t>
            </w:r>
            <w:proofErr w:type="spellStart"/>
            <w:r w:rsidRPr="00FC1826">
              <w:rPr>
                <w:sz w:val="22"/>
                <w:szCs w:val="22"/>
              </w:rPr>
              <w:t>two</w:t>
            </w:r>
            <w:proofErr w:type="spellEnd"/>
            <w:r w:rsidRPr="00FC1826">
              <w:rPr>
                <w:sz w:val="22"/>
                <w:szCs w:val="22"/>
              </w:rPr>
              <w:t xml:space="preserve"> </w:t>
            </w:r>
            <w:proofErr w:type="spellStart"/>
            <w:r w:rsidRPr="00FC1826">
              <w:rPr>
                <w:sz w:val="22"/>
                <w:szCs w:val="22"/>
              </w:rPr>
              <w:t>years</w:t>
            </w:r>
            <w:proofErr w:type="spellEnd"/>
            <w:r w:rsidRPr="00FC1826">
              <w:rPr>
                <w:sz w:val="22"/>
                <w:szCs w:val="22"/>
              </w:rPr>
              <w:t xml:space="preserve"> – have </w:t>
            </w:r>
            <w:proofErr w:type="gramStart"/>
            <w:r w:rsidRPr="00FC1826">
              <w:rPr>
                <w:sz w:val="22"/>
                <w:szCs w:val="22"/>
              </w:rPr>
              <w:t>a</w:t>
            </w:r>
            <w:proofErr w:type="gramEnd"/>
            <w:r w:rsidRPr="00FC1826">
              <w:rPr>
                <w:sz w:val="22"/>
                <w:szCs w:val="22"/>
              </w:rPr>
              <w:t xml:space="preserve"> direct </w:t>
            </w:r>
            <w:proofErr w:type="spellStart"/>
            <w:r w:rsidRPr="00FC1826">
              <w:rPr>
                <w:sz w:val="22"/>
                <w:szCs w:val="22"/>
              </w:rPr>
              <w:t>effect</w:t>
            </w:r>
            <w:proofErr w:type="spellEnd"/>
            <w:r w:rsidRPr="00FC1826">
              <w:rPr>
                <w:sz w:val="22"/>
                <w:szCs w:val="22"/>
              </w:rPr>
              <w:t xml:space="preserve"> on </w:t>
            </w:r>
            <w:proofErr w:type="spellStart"/>
            <w:r w:rsidRPr="00FC1826">
              <w:rPr>
                <w:sz w:val="22"/>
                <w:szCs w:val="22"/>
              </w:rPr>
              <w:t>students</w:t>
            </w:r>
            <w:proofErr w:type="spellEnd"/>
            <w:r w:rsidRPr="00FC1826">
              <w:rPr>
                <w:sz w:val="22"/>
                <w:szCs w:val="22"/>
              </w:rPr>
              <w:t xml:space="preserve">' </w:t>
            </w:r>
            <w:proofErr w:type="spellStart"/>
            <w:r w:rsidRPr="00FC1826">
              <w:rPr>
                <w:sz w:val="22"/>
                <w:szCs w:val="22"/>
              </w:rPr>
              <w:t>likelihood</w:t>
            </w:r>
            <w:proofErr w:type="spellEnd"/>
            <w:r w:rsidRPr="00FC1826">
              <w:rPr>
                <w:sz w:val="22"/>
                <w:szCs w:val="22"/>
              </w:rPr>
              <w:t xml:space="preserve"> of passing exams, </w:t>
            </w:r>
            <w:proofErr w:type="spellStart"/>
            <w:r w:rsidRPr="00FC1826">
              <w:rPr>
                <w:sz w:val="22"/>
                <w:szCs w:val="22"/>
              </w:rPr>
              <w:t>their</w:t>
            </w:r>
            <w:proofErr w:type="spellEnd"/>
            <w:r w:rsidRPr="00FC1826">
              <w:rPr>
                <w:sz w:val="22"/>
                <w:szCs w:val="22"/>
              </w:rPr>
              <w:t xml:space="preserve"> </w:t>
            </w:r>
            <w:proofErr w:type="spellStart"/>
            <w:r w:rsidRPr="00FC1826">
              <w:rPr>
                <w:sz w:val="22"/>
                <w:szCs w:val="22"/>
              </w:rPr>
              <w:t>overall</w:t>
            </w:r>
            <w:proofErr w:type="spellEnd"/>
            <w:r w:rsidRPr="00FC1826">
              <w:rPr>
                <w:sz w:val="22"/>
                <w:szCs w:val="22"/>
              </w:rPr>
              <w:t xml:space="preserve"> influence on </w:t>
            </w:r>
            <w:proofErr w:type="spellStart"/>
            <w:r w:rsidRPr="00FC1826">
              <w:rPr>
                <w:sz w:val="22"/>
                <w:szCs w:val="22"/>
              </w:rPr>
              <w:t>academic</w:t>
            </w:r>
            <w:proofErr w:type="spellEnd"/>
            <w:r w:rsidRPr="00FC1826">
              <w:rPr>
                <w:sz w:val="22"/>
                <w:szCs w:val="22"/>
              </w:rPr>
              <w:t xml:space="preserve"> </w:t>
            </w:r>
            <w:proofErr w:type="spellStart"/>
            <w:r w:rsidRPr="00FC1826">
              <w:rPr>
                <w:sz w:val="22"/>
                <w:szCs w:val="22"/>
              </w:rPr>
              <w:t>achievement</w:t>
            </w:r>
            <w:proofErr w:type="spellEnd"/>
            <w:r w:rsidRPr="00FC1826">
              <w:rPr>
                <w:sz w:val="22"/>
                <w:szCs w:val="22"/>
              </w:rPr>
              <w:t xml:space="preserve"> </w:t>
            </w:r>
            <w:proofErr w:type="spellStart"/>
            <w:r w:rsidRPr="00FC1826">
              <w:rPr>
                <w:sz w:val="22"/>
                <w:szCs w:val="22"/>
              </w:rPr>
              <w:t>remains</w:t>
            </w:r>
            <w:proofErr w:type="spellEnd"/>
            <w:r w:rsidRPr="00FC1826">
              <w:rPr>
                <w:sz w:val="22"/>
                <w:szCs w:val="22"/>
              </w:rPr>
              <w:t xml:space="preserve"> </w:t>
            </w:r>
            <w:proofErr w:type="spellStart"/>
            <w:r w:rsidRPr="00FC1826">
              <w:rPr>
                <w:sz w:val="22"/>
                <w:szCs w:val="22"/>
              </w:rPr>
              <w:t>relatively</w:t>
            </w:r>
            <w:proofErr w:type="spellEnd"/>
            <w:r w:rsidRPr="00FC1826">
              <w:rPr>
                <w:sz w:val="22"/>
                <w:szCs w:val="22"/>
              </w:rPr>
              <w:t xml:space="preserve"> </w:t>
            </w:r>
            <w:proofErr w:type="spellStart"/>
            <w:r w:rsidRPr="00FC1826">
              <w:rPr>
                <w:sz w:val="22"/>
                <w:szCs w:val="22"/>
              </w:rPr>
              <w:t>limited</w:t>
            </w:r>
            <w:proofErr w:type="spellEnd"/>
            <w:r w:rsidRPr="00FC1826">
              <w:rPr>
                <w:sz w:val="22"/>
                <w:szCs w:val="22"/>
              </w:rPr>
              <w:t xml:space="preserve"> </w:t>
            </w:r>
            <w:proofErr w:type="spellStart"/>
            <w:r w:rsidRPr="00FC1826">
              <w:rPr>
                <w:sz w:val="22"/>
                <w:szCs w:val="22"/>
              </w:rPr>
              <w:t>compared</w:t>
            </w:r>
            <w:proofErr w:type="spellEnd"/>
            <w:r w:rsidRPr="00FC1826">
              <w:rPr>
                <w:sz w:val="22"/>
                <w:szCs w:val="22"/>
              </w:rPr>
              <w:t xml:space="preserve"> to </w:t>
            </w:r>
            <w:proofErr w:type="spellStart"/>
            <w:r w:rsidRPr="00FC1826">
              <w:rPr>
                <w:sz w:val="22"/>
                <w:szCs w:val="22"/>
              </w:rPr>
              <w:t>traditional</w:t>
            </w:r>
            <w:proofErr w:type="spellEnd"/>
            <w:r w:rsidRPr="00FC1826">
              <w:rPr>
                <w:sz w:val="22"/>
                <w:szCs w:val="22"/>
              </w:rPr>
              <w:t xml:space="preserve"> </w:t>
            </w:r>
            <w:proofErr w:type="spellStart"/>
            <w:r w:rsidRPr="00FC1826">
              <w:rPr>
                <w:sz w:val="22"/>
                <w:szCs w:val="22"/>
              </w:rPr>
              <w:t>determinants</w:t>
            </w:r>
            <w:proofErr w:type="spellEnd"/>
            <w:r w:rsidRPr="00FC1826">
              <w:rPr>
                <w:sz w:val="22"/>
                <w:szCs w:val="22"/>
              </w:rPr>
              <w:t xml:space="preserve"> of </w:t>
            </w:r>
            <w:proofErr w:type="spellStart"/>
            <w:r w:rsidRPr="00FC1826">
              <w:rPr>
                <w:sz w:val="22"/>
                <w:szCs w:val="22"/>
              </w:rPr>
              <w:t>student</w:t>
            </w:r>
            <w:proofErr w:type="spellEnd"/>
            <w:r w:rsidRPr="00FC1826">
              <w:rPr>
                <w:sz w:val="22"/>
                <w:szCs w:val="22"/>
              </w:rPr>
              <w:t xml:space="preserve"> </w:t>
            </w:r>
            <w:proofErr w:type="spellStart"/>
            <w:r w:rsidRPr="00FC1826">
              <w:rPr>
                <w:sz w:val="22"/>
                <w:szCs w:val="22"/>
              </w:rPr>
              <w:t>success</w:t>
            </w:r>
            <w:proofErr w:type="spellEnd"/>
            <w:r w:rsidRPr="00FC1826">
              <w:rPr>
                <w:sz w:val="22"/>
                <w:szCs w:val="22"/>
              </w:rPr>
              <w:t xml:space="preserve">. </w:t>
            </w:r>
          </w:p>
          <w:p w:rsidR="00FC1826" w:rsidRPr="00FC1826" w:rsidRDefault="00FC1826" w:rsidP="00FC1826">
            <w:pPr>
              <w:pStyle w:val="NormalWeb"/>
              <w:spacing w:before="120" w:beforeAutospacing="0" w:after="0" w:afterAutospacing="0"/>
              <w:jc w:val="both"/>
              <w:rPr>
                <w:sz w:val="22"/>
                <w:szCs w:val="22"/>
              </w:rPr>
            </w:pPr>
            <w:proofErr w:type="spellStart"/>
            <w:r w:rsidRPr="00FC1826">
              <w:rPr>
                <w:sz w:val="22"/>
                <w:szCs w:val="22"/>
              </w:rPr>
              <w:t>Both</w:t>
            </w:r>
            <w:proofErr w:type="spellEnd"/>
            <w:r w:rsidRPr="00FC1826">
              <w:rPr>
                <w:sz w:val="22"/>
                <w:szCs w:val="22"/>
              </w:rPr>
              <w:t xml:space="preserve"> </w:t>
            </w:r>
            <w:proofErr w:type="spellStart"/>
            <w:r w:rsidRPr="00FC1826">
              <w:rPr>
                <w:sz w:val="22"/>
                <w:szCs w:val="22"/>
              </w:rPr>
              <w:t>lines</w:t>
            </w:r>
            <w:proofErr w:type="spellEnd"/>
            <w:r w:rsidRPr="00FC1826">
              <w:rPr>
                <w:sz w:val="22"/>
                <w:szCs w:val="22"/>
              </w:rPr>
              <w:t xml:space="preserve"> of </w:t>
            </w:r>
            <w:proofErr w:type="spellStart"/>
            <w:r w:rsidRPr="00FC1826">
              <w:rPr>
                <w:sz w:val="22"/>
                <w:szCs w:val="22"/>
              </w:rPr>
              <w:t>inquiry</w:t>
            </w:r>
            <w:proofErr w:type="spellEnd"/>
            <w:r w:rsidRPr="00FC1826">
              <w:rPr>
                <w:sz w:val="22"/>
                <w:szCs w:val="22"/>
              </w:rPr>
              <w:t xml:space="preserve"> converge </w:t>
            </w:r>
            <w:proofErr w:type="spellStart"/>
            <w:r w:rsidRPr="00FC1826">
              <w:rPr>
                <w:sz w:val="22"/>
                <w:szCs w:val="22"/>
              </w:rPr>
              <w:t>around</w:t>
            </w:r>
            <w:proofErr w:type="spellEnd"/>
            <w:r w:rsidRPr="00FC1826">
              <w:rPr>
                <w:sz w:val="22"/>
                <w:szCs w:val="22"/>
              </w:rPr>
              <w:t xml:space="preserve"> a </w:t>
            </w:r>
            <w:proofErr w:type="spellStart"/>
            <w:r w:rsidRPr="00FC1826">
              <w:rPr>
                <w:sz w:val="22"/>
                <w:szCs w:val="22"/>
              </w:rPr>
              <w:t>common</w:t>
            </w:r>
            <w:proofErr w:type="spellEnd"/>
            <w:r w:rsidRPr="00FC1826">
              <w:rPr>
                <w:sz w:val="22"/>
                <w:szCs w:val="22"/>
              </w:rPr>
              <w:t xml:space="preserve"> </w:t>
            </w:r>
            <w:proofErr w:type="spellStart"/>
            <w:r w:rsidRPr="00FC1826">
              <w:rPr>
                <w:sz w:val="22"/>
                <w:szCs w:val="22"/>
              </w:rPr>
              <w:t>object</w:t>
            </w:r>
            <w:proofErr w:type="spellEnd"/>
            <w:r w:rsidRPr="00FC1826">
              <w:rPr>
                <w:sz w:val="22"/>
                <w:szCs w:val="22"/>
              </w:rPr>
              <w:t xml:space="preserve"> of </w:t>
            </w:r>
            <w:proofErr w:type="spellStart"/>
            <w:r w:rsidRPr="00FC1826">
              <w:rPr>
                <w:sz w:val="22"/>
                <w:szCs w:val="22"/>
              </w:rPr>
              <w:t>study</w:t>
            </w:r>
            <w:proofErr w:type="spellEnd"/>
            <w:r w:rsidRPr="00FC1826">
              <w:rPr>
                <w:sz w:val="22"/>
                <w:szCs w:val="22"/>
              </w:rPr>
              <w:t xml:space="preserve">: the "université de proximité" (local </w:t>
            </w:r>
            <w:proofErr w:type="spellStart"/>
            <w:r w:rsidRPr="00FC1826">
              <w:rPr>
                <w:sz w:val="22"/>
                <w:szCs w:val="22"/>
              </w:rPr>
              <w:t>university</w:t>
            </w:r>
            <w:proofErr w:type="spellEnd"/>
            <w:r w:rsidRPr="00FC1826">
              <w:rPr>
                <w:sz w:val="22"/>
                <w:szCs w:val="22"/>
              </w:rPr>
              <w:t xml:space="preserve">), </w:t>
            </w:r>
            <w:proofErr w:type="spellStart"/>
            <w:r w:rsidRPr="00FC1826">
              <w:rPr>
                <w:sz w:val="22"/>
                <w:szCs w:val="22"/>
              </w:rPr>
              <w:t>shaped</w:t>
            </w:r>
            <w:proofErr w:type="spellEnd"/>
            <w:r w:rsidRPr="00FC1826">
              <w:rPr>
                <w:sz w:val="22"/>
                <w:szCs w:val="22"/>
              </w:rPr>
              <w:t xml:space="preserve"> by </w:t>
            </w:r>
            <w:proofErr w:type="spellStart"/>
            <w:r w:rsidRPr="00FC1826">
              <w:rPr>
                <w:sz w:val="22"/>
                <w:szCs w:val="22"/>
              </w:rPr>
              <w:t>specific</w:t>
            </w:r>
            <w:proofErr w:type="spellEnd"/>
            <w:r w:rsidRPr="00FC1826">
              <w:rPr>
                <w:sz w:val="22"/>
                <w:szCs w:val="22"/>
              </w:rPr>
              <w:t xml:space="preserve"> </w:t>
            </w:r>
            <w:proofErr w:type="spellStart"/>
            <w:r w:rsidRPr="00FC1826">
              <w:rPr>
                <w:sz w:val="22"/>
                <w:szCs w:val="22"/>
              </w:rPr>
              <w:t>historical</w:t>
            </w:r>
            <w:proofErr w:type="spellEnd"/>
            <w:r w:rsidRPr="00FC1826">
              <w:rPr>
                <w:sz w:val="22"/>
                <w:szCs w:val="22"/>
              </w:rPr>
              <w:t xml:space="preserve">, </w:t>
            </w:r>
            <w:proofErr w:type="spellStart"/>
            <w:r w:rsidRPr="00FC1826">
              <w:rPr>
                <w:sz w:val="22"/>
                <w:szCs w:val="22"/>
              </w:rPr>
              <w:t>geographical</w:t>
            </w:r>
            <w:proofErr w:type="spellEnd"/>
            <w:r w:rsidRPr="00FC1826">
              <w:rPr>
                <w:sz w:val="22"/>
                <w:szCs w:val="22"/>
              </w:rPr>
              <w:t xml:space="preserve">, and social </w:t>
            </w:r>
            <w:proofErr w:type="spellStart"/>
            <w:r w:rsidRPr="00FC1826">
              <w:rPr>
                <w:sz w:val="22"/>
                <w:szCs w:val="22"/>
              </w:rPr>
              <w:t>contexts</w:t>
            </w:r>
            <w:proofErr w:type="spellEnd"/>
            <w:r w:rsidRPr="00FC1826">
              <w:rPr>
                <w:sz w:val="22"/>
                <w:szCs w:val="22"/>
              </w:rPr>
              <w:t xml:space="preserve">. This </w:t>
            </w:r>
            <w:proofErr w:type="spellStart"/>
            <w:r w:rsidRPr="00FC1826">
              <w:rPr>
                <w:sz w:val="22"/>
                <w:szCs w:val="22"/>
              </w:rPr>
              <w:t>environment</w:t>
            </w:r>
            <w:proofErr w:type="spellEnd"/>
            <w:r w:rsidRPr="00FC1826">
              <w:rPr>
                <w:sz w:val="22"/>
                <w:szCs w:val="22"/>
              </w:rPr>
              <w:t xml:space="preserve"> </w:t>
            </w:r>
            <w:proofErr w:type="spellStart"/>
            <w:r w:rsidRPr="00FC1826">
              <w:rPr>
                <w:sz w:val="22"/>
                <w:szCs w:val="22"/>
              </w:rPr>
              <w:t>forms</w:t>
            </w:r>
            <w:proofErr w:type="spellEnd"/>
            <w:r w:rsidRPr="00FC1826">
              <w:rPr>
                <w:sz w:val="22"/>
                <w:szCs w:val="22"/>
              </w:rPr>
              <w:t xml:space="preserve"> the </w:t>
            </w:r>
            <w:proofErr w:type="spellStart"/>
            <w:r w:rsidRPr="00FC1826">
              <w:rPr>
                <w:sz w:val="22"/>
                <w:szCs w:val="22"/>
              </w:rPr>
              <w:t>backdrop</w:t>
            </w:r>
            <w:proofErr w:type="spellEnd"/>
            <w:r w:rsidRPr="00FC1826">
              <w:rPr>
                <w:sz w:val="22"/>
                <w:szCs w:val="22"/>
              </w:rPr>
              <w:t xml:space="preserve"> </w:t>
            </w:r>
            <w:proofErr w:type="spellStart"/>
            <w:r w:rsidRPr="00FC1826">
              <w:rPr>
                <w:sz w:val="22"/>
                <w:szCs w:val="22"/>
              </w:rPr>
              <w:t>against</w:t>
            </w:r>
            <w:proofErr w:type="spellEnd"/>
            <w:r w:rsidRPr="00FC1826">
              <w:rPr>
                <w:sz w:val="22"/>
                <w:szCs w:val="22"/>
              </w:rPr>
              <w:t xml:space="preserve"> </w:t>
            </w:r>
            <w:proofErr w:type="spellStart"/>
            <w:r w:rsidRPr="00FC1826">
              <w:rPr>
                <w:sz w:val="22"/>
                <w:szCs w:val="22"/>
              </w:rPr>
              <w:t>which</w:t>
            </w:r>
            <w:proofErr w:type="spellEnd"/>
            <w:r w:rsidRPr="00FC1826">
              <w:rPr>
                <w:sz w:val="22"/>
                <w:szCs w:val="22"/>
              </w:rPr>
              <w:t xml:space="preserve"> the </w:t>
            </w:r>
            <w:proofErr w:type="spellStart"/>
            <w:r w:rsidRPr="00FC1826">
              <w:rPr>
                <w:sz w:val="22"/>
                <w:szCs w:val="22"/>
              </w:rPr>
              <w:t>surveyed</w:t>
            </w:r>
            <w:proofErr w:type="spellEnd"/>
            <w:r w:rsidRPr="00FC1826">
              <w:rPr>
                <w:sz w:val="22"/>
                <w:szCs w:val="22"/>
              </w:rPr>
              <w:t xml:space="preserve"> </w:t>
            </w:r>
            <w:proofErr w:type="spellStart"/>
            <w:r w:rsidRPr="00FC1826">
              <w:rPr>
                <w:sz w:val="22"/>
                <w:szCs w:val="22"/>
              </w:rPr>
              <w:t>students</w:t>
            </w:r>
            <w:proofErr w:type="spellEnd"/>
            <w:r w:rsidRPr="00FC1826">
              <w:rPr>
                <w:sz w:val="22"/>
                <w:szCs w:val="22"/>
              </w:rPr>
              <w:t xml:space="preserve"> </w:t>
            </w:r>
            <w:proofErr w:type="spellStart"/>
            <w:r w:rsidRPr="00FC1826">
              <w:rPr>
                <w:sz w:val="22"/>
                <w:szCs w:val="22"/>
              </w:rPr>
              <w:t>pursue</w:t>
            </w:r>
            <w:proofErr w:type="spellEnd"/>
            <w:r w:rsidRPr="00FC1826">
              <w:rPr>
                <w:sz w:val="22"/>
                <w:szCs w:val="22"/>
              </w:rPr>
              <w:t xml:space="preserve"> </w:t>
            </w:r>
            <w:proofErr w:type="spellStart"/>
            <w:r w:rsidRPr="00FC1826">
              <w:rPr>
                <w:sz w:val="22"/>
                <w:szCs w:val="22"/>
              </w:rPr>
              <w:t>their</w:t>
            </w:r>
            <w:proofErr w:type="spellEnd"/>
            <w:r w:rsidRPr="00FC1826">
              <w:rPr>
                <w:sz w:val="22"/>
                <w:szCs w:val="22"/>
              </w:rPr>
              <w:t xml:space="preserve"> </w:t>
            </w:r>
            <w:proofErr w:type="spellStart"/>
            <w:r w:rsidRPr="00FC1826">
              <w:rPr>
                <w:sz w:val="22"/>
                <w:szCs w:val="22"/>
              </w:rPr>
              <w:t>education</w:t>
            </w:r>
            <w:proofErr w:type="spellEnd"/>
            <w:r w:rsidRPr="00FC1826">
              <w:rPr>
                <w:sz w:val="22"/>
                <w:szCs w:val="22"/>
              </w:rPr>
              <w:t xml:space="preserve">. Beyond the </w:t>
            </w:r>
            <w:proofErr w:type="spellStart"/>
            <w:r w:rsidRPr="00FC1826">
              <w:rPr>
                <w:sz w:val="22"/>
                <w:szCs w:val="22"/>
              </w:rPr>
              <w:t>evaluation</w:t>
            </w:r>
            <w:proofErr w:type="spellEnd"/>
            <w:r w:rsidRPr="00FC1826">
              <w:rPr>
                <w:sz w:val="22"/>
                <w:szCs w:val="22"/>
              </w:rPr>
              <w:t xml:space="preserve"> of the PIA NCU </w:t>
            </w:r>
            <w:proofErr w:type="spellStart"/>
            <w:r w:rsidRPr="00FC1826">
              <w:rPr>
                <w:sz w:val="22"/>
                <w:szCs w:val="22"/>
              </w:rPr>
              <w:t>project</w:t>
            </w:r>
            <w:proofErr w:type="spellEnd"/>
            <w:r w:rsidRPr="00FC1826">
              <w:rPr>
                <w:sz w:val="22"/>
                <w:szCs w:val="22"/>
              </w:rPr>
              <w:t xml:space="preserve">, the </w:t>
            </w:r>
            <w:proofErr w:type="spellStart"/>
            <w:r w:rsidRPr="00FC1826">
              <w:rPr>
                <w:sz w:val="22"/>
                <w:szCs w:val="22"/>
              </w:rPr>
              <w:t>thesis</w:t>
            </w:r>
            <w:proofErr w:type="spellEnd"/>
            <w:r w:rsidRPr="00FC1826">
              <w:rPr>
                <w:sz w:val="22"/>
                <w:szCs w:val="22"/>
              </w:rPr>
              <w:t xml:space="preserve"> </w:t>
            </w:r>
            <w:proofErr w:type="spellStart"/>
            <w:r w:rsidRPr="00FC1826">
              <w:rPr>
                <w:sz w:val="22"/>
                <w:szCs w:val="22"/>
              </w:rPr>
              <w:t>highlights</w:t>
            </w:r>
            <w:proofErr w:type="spellEnd"/>
            <w:r w:rsidRPr="00FC1826">
              <w:rPr>
                <w:sz w:val="22"/>
                <w:szCs w:val="22"/>
              </w:rPr>
              <w:t xml:space="preserve"> the </w:t>
            </w:r>
            <w:proofErr w:type="spellStart"/>
            <w:r w:rsidRPr="00FC1826">
              <w:rPr>
                <w:sz w:val="22"/>
                <w:szCs w:val="22"/>
              </w:rPr>
              <w:t>role</w:t>
            </w:r>
            <w:proofErr w:type="spellEnd"/>
            <w:r w:rsidRPr="00FC1826">
              <w:rPr>
                <w:sz w:val="22"/>
                <w:szCs w:val="22"/>
              </w:rPr>
              <w:t xml:space="preserve"> </w:t>
            </w:r>
            <w:proofErr w:type="spellStart"/>
            <w:r w:rsidRPr="00FC1826">
              <w:rPr>
                <w:sz w:val="22"/>
                <w:szCs w:val="22"/>
              </w:rPr>
              <w:t>played</w:t>
            </w:r>
            <w:proofErr w:type="spellEnd"/>
            <w:r w:rsidRPr="00FC1826">
              <w:rPr>
                <w:sz w:val="22"/>
                <w:szCs w:val="22"/>
              </w:rPr>
              <w:t xml:space="preserve"> by Le Mans Université in </w:t>
            </w:r>
            <w:proofErr w:type="spellStart"/>
            <w:r w:rsidRPr="00FC1826">
              <w:rPr>
                <w:sz w:val="22"/>
                <w:szCs w:val="22"/>
              </w:rPr>
              <w:t>democratizing</w:t>
            </w:r>
            <w:proofErr w:type="spellEnd"/>
            <w:r w:rsidRPr="00FC1826">
              <w:rPr>
                <w:sz w:val="22"/>
                <w:szCs w:val="22"/>
              </w:rPr>
              <w:t xml:space="preserve"> </w:t>
            </w:r>
            <w:proofErr w:type="spellStart"/>
            <w:r w:rsidRPr="00FC1826">
              <w:rPr>
                <w:sz w:val="22"/>
                <w:szCs w:val="22"/>
              </w:rPr>
              <w:t>access</w:t>
            </w:r>
            <w:proofErr w:type="spellEnd"/>
            <w:r w:rsidRPr="00FC1826">
              <w:rPr>
                <w:sz w:val="22"/>
                <w:szCs w:val="22"/>
              </w:rPr>
              <w:t xml:space="preserve"> to </w:t>
            </w:r>
            <w:proofErr w:type="spellStart"/>
            <w:r w:rsidRPr="00FC1826">
              <w:rPr>
                <w:sz w:val="22"/>
                <w:szCs w:val="22"/>
              </w:rPr>
              <w:t>higher</w:t>
            </w:r>
            <w:proofErr w:type="spellEnd"/>
            <w:r w:rsidRPr="00FC1826">
              <w:rPr>
                <w:sz w:val="22"/>
                <w:szCs w:val="22"/>
              </w:rPr>
              <w:t xml:space="preserve"> </w:t>
            </w:r>
            <w:proofErr w:type="spellStart"/>
            <w:r w:rsidRPr="00FC1826">
              <w:rPr>
                <w:sz w:val="22"/>
                <w:szCs w:val="22"/>
              </w:rPr>
              <w:t>education</w:t>
            </w:r>
            <w:proofErr w:type="spellEnd"/>
            <w:r w:rsidRPr="00FC1826">
              <w:rPr>
                <w:sz w:val="22"/>
                <w:szCs w:val="22"/>
              </w:rPr>
              <w:t xml:space="preserve">. It </w:t>
            </w:r>
            <w:proofErr w:type="spellStart"/>
            <w:r w:rsidRPr="00FC1826">
              <w:rPr>
                <w:sz w:val="22"/>
                <w:szCs w:val="22"/>
              </w:rPr>
              <w:t>outlines</w:t>
            </w:r>
            <w:proofErr w:type="spellEnd"/>
            <w:r w:rsidRPr="00FC1826">
              <w:rPr>
                <w:sz w:val="22"/>
                <w:szCs w:val="22"/>
              </w:rPr>
              <w:t xml:space="preserve"> the profile of a </w:t>
            </w:r>
            <w:proofErr w:type="spellStart"/>
            <w:r w:rsidRPr="00FC1826">
              <w:rPr>
                <w:sz w:val="22"/>
                <w:szCs w:val="22"/>
              </w:rPr>
              <w:t>predominantly</w:t>
            </w:r>
            <w:proofErr w:type="spellEnd"/>
            <w:r w:rsidRPr="00FC1826">
              <w:rPr>
                <w:sz w:val="22"/>
                <w:szCs w:val="22"/>
              </w:rPr>
              <w:t xml:space="preserve"> local </w:t>
            </w:r>
            <w:proofErr w:type="spellStart"/>
            <w:r w:rsidRPr="00FC1826">
              <w:rPr>
                <w:sz w:val="22"/>
                <w:szCs w:val="22"/>
              </w:rPr>
              <w:t>student</w:t>
            </w:r>
            <w:proofErr w:type="spellEnd"/>
            <w:r w:rsidRPr="00FC1826">
              <w:rPr>
                <w:sz w:val="22"/>
                <w:szCs w:val="22"/>
              </w:rPr>
              <w:t xml:space="preserve"> population, </w:t>
            </w:r>
            <w:proofErr w:type="spellStart"/>
            <w:r w:rsidRPr="00FC1826">
              <w:rPr>
                <w:sz w:val="22"/>
                <w:szCs w:val="22"/>
              </w:rPr>
              <w:t>characterized</w:t>
            </w:r>
            <w:proofErr w:type="spellEnd"/>
            <w:r w:rsidRPr="00FC1826">
              <w:rPr>
                <w:sz w:val="22"/>
                <w:szCs w:val="22"/>
              </w:rPr>
              <w:t xml:space="preserve"> by </w:t>
            </w:r>
            <w:proofErr w:type="spellStart"/>
            <w:r w:rsidRPr="00FC1826">
              <w:rPr>
                <w:sz w:val="22"/>
                <w:szCs w:val="22"/>
              </w:rPr>
              <w:t>delayed</w:t>
            </w:r>
            <w:proofErr w:type="spellEnd"/>
            <w:r w:rsidRPr="00FC1826">
              <w:rPr>
                <w:sz w:val="22"/>
                <w:szCs w:val="22"/>
              </w:rPr>
              <w:t xml:space="preserve"> </w:t>
            </w:r>
            <w:proofErr w:type="spellStart"/>
            <w:r w:rsidRPr="00FC1826">
              <w:rPr>
                <w:sz w:val="22"/>
                <w:szCs w:val="22"/>
              </w:rPr>
              <w:t>departure</w:t>
            </w:r>
            <w:proofErr w:type="spellEnd"/>
            <w:r w:rsidRPr="00FC1826">
              <w:rPr>
                <w:sz w:val="22"/>
                <w:szCs w:val="22"/>
              </w:rPr>
              <w:t xml:space="preserve"> </w:t>
            </w:r>
            <w:proofErr w:type="spellStart"/>
            <w:r w:rsidRPr="00FC1826">
              <w:rPr>
                <w:sz w:val="22"/>
                <w:szCs w:val="22"/>
              </w:rPr>
              <w:t>from</w:t>
            </w:r>
            <w:proofErr w:type="spellEnd"/>
            <w:r w:rsidRPr="00FC1826">
              <w:rPr>
                <w:sz w:val="22"/>
                <w:szCs w:val="22"/>
              </w:rPr>
              <w:t xml:space="preserve"> the parental home and a </w:t>
            </w:r>
            <w:proofErr w:type="spellStart"/>
            <w:r w:rsidRPr="00FC1826">
              <w:rPr>
                <w:sz w:val="22"/>
                <w:szCs w:val="22"/>
              </w:rPr>
              <w:t>working</w:t>
            </w:r>
            <w:proofErr w:type="spellEnd"/>
            <w:r w:rsidRPr="00FC1826">
              <w:rPr>
                <w:sz w:val="22"/>
                <w:szCs w:val="22"/>
              </w:rPr>
              <w:t xml:space="preserve">-class social background. </w:t>
            </w:r>
            <w:proofErr w:type="spellStart"/>
            <w:r w:rsidRPr="00FC1826">
              <w:rPr>
                <w:sz w:val="22"/>
                <w:szCs w:val="22"/>
              </w:rPr>
              <w:t>These</w:t>
            </w:r>
            <w:proofErr w:type="spellEnd"/>
            <w:r w:rsidRPr="00FC1826">
              <w:rPr>
                <w:sz w:val="22"/>
                <w:szCs w:val="22"/>
              </w:rPr>
              <w:t xml:space="preserve"> </w:t>
            </w:r>
            <w:proofErr w:type="spellStart"/>
            <w:r w:rsidRPr="00FC1826">
              <w:rPr>
                <w:sz w:val="22"/>
                <w:szCs w:val="22"/>
              </w:rPr>
              <w:t>characteristics</w:t>
            </w:r>
            <w:proofErr w:type="spellEnd"/>
            <w:r w:rsidRPr="00FC1826">
              <w:rPr>
                <w:sz w:val="22"/>
                <w:szCs w:val="22"/>
              </w:rPr>
              <w:t xml:space="preserve"> not </w:t>
            </w:r>
            <w:proofErr w:type="spellStart"/>
            <w:r w:rsidRPr="00FC1826">
              <w:rPr>
                <w:sz w:val="22"/>
                <w:szCs w:val="22"/>
              </w:rPr>
              <w:t>only</w:t>
            </w:r>
            <w:proofErr w:type="spellEnd"/>
            <w:r w:rsidRPr="00FC1826">
              <w:rPr>
                <w:sz w:val="22"/>
                <w:szCs w:val="22"/>
              </w:rPr>
              <w:t xml:space="preserve"> </w:t>
            </w:r>
            <w:proofErr w:type="spellStart"/>
            <w:r w:rsidRPr="00FC1826">
              <w:rPr>
                <w:sz w:val="22"/>
                <w:szCs w:val="22"/>
              </w:rPr>
              <w:t>shape</w:t>
            </w:r>
            <w:proofErr w:type="spellEnd"/>
            <w:r w:rsidRPr="00FC1826">
              <w:rPr>
                <w:sz w:val="22"/>
                <w:szCs w:val="22"/>
              </w:rPr>
              <w:t xml:space="preserve"> the </w:t>
            </w:r>
            <w:proofErr w:type="spellStart"/>
            <w:r w:rsidRPr="00FC1826">
              <w:rPr>
                <w:sz w:val="22"/>
                <w:szCs w:val="22"/>
              </w:rPr>
              <w:t>university</w:t>
            </w:r>
            <w:proofErr w:type="spellEnd"/>
            <w:r w:rsidRPr="00FC1826">
              <w:rPr>
                <w:sz w:val="22"/>
                <w:szCs w:val="22"/>
              </w:rPr>
              <w:t xml:space="preserve"> </w:t>
            </w:r>
            <w:proofErr w:type="spellStart"/>
            <w:r w:rsidRPr="00FC1826">
              <w:rPr>
                <w:sz w:val="22"/>
                <w:szCs w:val="22"/>
              </w:rPr>
              <w:t>experience</w:t>
            </w:r>
            <w:proofErr w:type="spellEnd"/>
            <w:r w:rsidRPr="00FC1826">
              <w:rPr>
                <w:sz w:val="22"/>
                <w:szCs w:val="22"/>
              </w:rPr>
              <w:t xml:space="preserve"> but </w:t>
            </w:r>
            <w:proofErr w:type="spellStart"/>
            <w:r w:rsidRPr="00FC1826">
              <w:rPr>
                <w:sz w:val="22"/>
                <w:szCs w:val="22"/>
              </w:rPr>
              <w:t>also</w:t>
            </w:r>
            <w:proofErr w:type="spellEnd"/>
            <w:r w:rsidRPr="00FC1826">
              <w:rPr>
                <w:sz w:val="22"/>
                <w:szCs w:val="22"/>
              </w:rPr>
              <w:t xml:space="preserve"> pose </w:t>
            </w:r>
            <w:proofErr w:type="spellStart"/>
            <w:r w:rsidRPr="00FC1826">
              <w:rPr>
                <w:sz w:val="22"/>
                <w:szCs w:val="22"/>
              </w:rPr>
              <w:t>specific</w:t>
            </w:r>
            <w:proofErr w:type="spellEnd"/>
            <w:r w:rsidRPr="00FC1826">
              <w:rPr>
                <w:sz w:val="22"/>
                <w:szCs w:val="22"/>
              </w:rPr>
              <w:t xml:space="preserve"> challenges for the Thélème </w:t>
            </w:r>
            <w:proofErr w:type="spellStart"/>
            <w:r w:rsidRPr="00FC1826">
              <w:rPr>
                <w:sz w:val="22"/>
                <w:szCs w:val="22"/>
              </w:rPr>
              <w:t>project</w:t>
            </w:r>
            <w:proofErr w:type="spellEnd"/>
            <w:r w:rsidRPr="00FC1826">
              <w:rPr>
                <w:sz w:val="22"/>
                <w:szCs w:val="22"/>
              </w:rPr>
              <w:t xml:space="preserve"> in </w:t>
            </w:r>
            <w:proofErr w:type="spellStart"/>
            <w:r w:rsidRPr="00FC1826">
              <w:rPr>
                <w:sz w:val="22"/>
                <w:szCs w:val="22"/>
              </w:rPr>
              <w:t>its</w:t>
            </w:r>
            <w:proofErr w:type="spellEnd"/>
            <w:r w:rsidRPr="00FC1826">
              <w:rPr>
                <w:sz w:val="22"/>
                <w:szCs w:val="22"/>
              </w:rPr>
              <w:t xml:space="preserve"> mission to </w:t>
            </w:r>
            <w:proofErr w:type="spellStart"/>
            <w:r w:rsidRPr="00FC1826">
              <w:rPr>
                <w:sz w:val="22"/>
                <w:szCs w:val="22"/>
              </w:rPr>
              <w:t>effectively</w:t>
            </w:r>
            <w:proofErr w:type="spellEnd"/>
            <w:r w:rsidRPr="00FC1826">
              <w:rPr>
                <w:sz w:val="22"/>
                <w:szCs w:val="22"/>
              </w:rPr>
              <w:t xml:space="preserve"> support </w:t>
            </w:r>
            <w:proofErr w:type="spellStart"/>
            <w:r w:rsidRPr="00FC1826">
              <w:rPr>
                <w:sz w:val="22"/>
                <w:szCs w:val="22"/>
              </w:rPr>
              <w:t>student</w:t>
            </w:r>
            <w:proofErr w:type="spellEnd"/>
            <w:r w:rsidRPr="00FC1826">
              <w:rPr>
                <w:sz w:val="22"/>
                <w:szCs w:val="22"/>
              </w:rPr>
              <w:t xml:space="preserve"> </w:t>
            </w:r>
            <w:proofErr w:type="spellStart"/>
            <w:r w:rsidRPr="00FC1826">
              <w:rPr>
                <w:sz w:val="22"/>
                <w:szCs w:val="22"/>
              </w:rPr>
              <w:t>success</w:t>
            </w:r>
            <w:proofErr w:type="spellEnd"/>
            <w:r w:rsidRPr="00FC1826">
              <w:rPr>
                <w:sz w:val="22"/>
                <w:szCs w:val="22"/>
              </w:rPr>
              <w:t>.</w:t>
            </w:r>
          </w:p>
          <w:p w:rsidR="008C091C" w:rsidRPr="002F705E" w:rsidRDefault="008C091C">
            <w:pPr>
              <w:spacing w:before="120"/>
              <w:rPr>
                <w:sz w:val="22"/>
                <w:szCs w:val="22"/>
                <w:lang w:val="en-US"/>
              </w:rPr>
            </w:pPr>
          </w:p>
        </w:tc>
      </w:tr>
    </w:tbl>
    <w:p w:rsidR="00CE6483" w:rsidRPr="00A30AD8" w:rsidRDefault="00500F5A">
      <w:pPr>
        <w:pStyle w:val="Commentaire"/>
        <w:spacing w:before="60" w:after="60"/>
        <w:ind w:right="-142"/>
        <w:rPr>
          <w:rFonts w:ascii="Times New Roman" w:hAnsi="Times New Roman" w:cs="Times New Roman"/>
          <w:sz w:val="22"/>
          <w:szCs w:val="22"/>
        </w:rPr>
      </w:pPr>
      <w:r>
        <w:rPr>
          <w:rFonts w:ascii="Times New Roman" w:hAnsi="Times New Roman" w:cs="Times New Roman"/>
          <w:sz w:val="22"/>
          <w:szCs w:val="22"/>
        </w:rPr>
        <w:t>MOTS-CLÉS en anglais</w:t>
      </w:r>
      <w:r w:rsidR="00CE6483" w:rsidRPr="00A30AD8">
        <w:rPr>
          <w:rFonts w:ascii="Times New Roman" w:hAnsi="Times New Roman" w:cs="Times New Roman"/>
          <w:sz w:val="22"/>
          <w:szCs w:val="22"/>
        </w:rPr>
        <w:t> :</w:t>
      </w:r>
    </w:p>
    <w:tbl>
      <w:tblPr>
        <w:tblW w:w="0" w:type="auto"/>
        <w:tblCellMar>
          <w:left w:w="70" w:type="dxa"/>
          <w:right w:w="70" w:type="dxa"/>
        </w:tblCellMar>
        <w:tblLook w:val="0000" w:firstRow="0" w:lastRow="0" w:firstColumn="0" w:lastColumn="0" w:noHBand="0" w:noVBand="0"/>
      </w:tblPr>
      <w:tblGrid>
        <w:gridCol w:w="354"/>
        <w:gridCol w:w="4536"/>
        <w:gridCol w:w="283"/>
        <w:gridCol w:w="4607"/>
      </w:tblGrid>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1</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roofErr w:type="spellStart"/>
            <w:r>
              <w:rPr>
                <w:rFonts w:ascii="Times New Roman" w:hAnsi="Times New Roman" w:cs="Times New Roman"/>
                <w:sz w:val="22"/>
                <w:szCs w:val="22"/>
              </w:rPr>
              <w:t>Students</w:t>
            </w:r>
            <w:proofErr w:type="spellEnd"/>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5</w:t>
            </w: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roofErr w:type="spellStart"/>
            <w:r>
              <w:rPr>
                <w:rFonts w:ascii="Times New Roman" w:hAnsi="Times New Roman" w:cs="Times New Roman"/>
                <w:sz w:val="22"/>
                <w:szCs w:val="22"/>
              </w:rPr>
              <w:t>Inequalities</w:t>
            </w:r>
            <w:proofErr w:type="spellEnd"/>
          </w:p>
        </w:tc>
      </w:tr>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2</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Pr>
                <w:rFonts w:ascii="Times New Roman" w:hAnsi="Times New Roman" w:cs="Times New Roman"/>
                <w:sz w:val="22"/>
                <w:szCs w:val="22"/>
              </w:rPr>
              <w:t xml:space="preserve">Local </w:t>
            </w:r>
            <w:proofErr w:type="spellStart"/>
            <w:r>
              <w:rPr>
                <w:rFonts w:ascii="Times New Roman" w:hAnsi="Times New Roman" w:cs="Times New Roman"/>
                <w:sz w:val="22"/>
                <w:szCs w:val="22"/>
              </w:rPr>
              <w:t>university</w:t>
            </w:r>
            <w:proofErr w:type="spellEnd"/>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6</w:t>
            </w: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roofErr w:type="spellStart"/>
            <w:r>
              <w:rPr>
                <w:rFonts w:ascii="Times New Roman" w:hAnsi="Times New Roman" w:cs="Times New Roman"/>
                <w:sz w:val="22"/>
                <w:szCs w:val="22"/>
              </w:rPr>
              <w:t>Remediation</w:t>
            </w:r>
            <w:proofErr w:type="spellEnd"/>
          </w:p>
        </w:tc>
      </w:tr>
      <w:tr w:rsidR="007C3B53" w:rsidRPr="00F87C19">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3</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roofErr w:type="spellStart"/>
            <w:r>
              <w:rPr>
                <w:rFonts w:ascii="Times New Roman" w:hAnsi="Times New Roman" w:cs="Times New Roman"/>
                <w:sz w:val="22"/>
                <w:szCs w:val="22"/>
              </w:rPr>
              <w:t>Democratization</w:t>
            </w:r>
            <w:proofErr w:type="spellEnd"/>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7</w:t>
            </w:r>
          </w:p>
        </w:tc>
        <w:tc>
          <w:tcPr>
            <w:tcW w:w="4607" w:type="dxa"/>
            <w:tcBorders>
              <w:top w:val="nil"/>
              <w:left w:val="nil"/>
              <w:bottom w:val="nil"/>
              <w:right w:val="nil"/>
            </w:tcBorders>
          </w:tcPr>
          <w:p w:rsidR="007C3B53" w:rsidRPr="002F705E" w:rsidRDefault="007C3B53" w:rsidP="007C3B53">
            <w:pPr>
              <w:pStyle w:val="Commentaire"/>
              <w:spacing w:after="120"/>
              <w:ind w:right="-142"/>
              <w:rPr>
                <w:rFonts w:ascii="Times New Roman" w:hAnsi="Times New Roman" w:cs="Times New Roman"/>
                <w:sz w:val="22"/>
                <w:szCs w:val="22"/>
                <w:lang w:val="en-US"/>
              </w:rPr>
            </w:pPr>
            <w:proofErr w:type="spellStart"/>
            <w:r w:rsidRPr="002F705E">
              <w:rPr>
                <w:rFonts w:ascii="Times New Roman" w:hAnsi="Times New Roman" w:cs="Times New Roman"/>
                <w:sz w:val="22"/>
                <w:szCs w:val="22"/>
                <w:lang w:val="en-US"/>
              </w:rPr>
              <w:t>Programme</w:t>
            </w:r>
            <w:proofErr w:type="spellEnd"/>
            <w:r w:rsidRPr="002F705E">
              <w:rPr>
                <w:rFonts w:ascii="Times New Roman" w:hAnsi="Times New Roman" w:cs="Times New Roman"/>
                <w:sz w:val="22"/>
                <w:szCs w:val="22"/>
                <w:lang w:val="en-US"/>
              </w:rPr>
              <w:t xml:space="preserve"> of Investments for the Future</w:t>
            </w:r>
          </w:p>
        </w:tc>
      </w:tr>
      <w:tr w:rsidR="007C3B53" w:rsidRPr="00A30AD8">
        <w:trPr>
          <w:trHeight w:hRule="exact" w:val="227"/>
        </w:trPr>
        <w:tc>
          <w:tcPr>
            <w:tcW w:w="354"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r w:rsidRPr="00A30AD8">
              <w:rPr>
                <w:rFonts w:ascii="Times New Roman" w:hAnsi="Times New Roman" w:cs="Times New Roman"/>
                <w:sz w:val="22"/>
                <w:szCs w:val="22"/>
              </w:rPr>
              <w:t>4</w:t>
            </w:r>
          </w:p>
        </w:tc>
        <w:tc>
          <w:tcPr>
            <w:tcW w:w="4536"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roofErr w:type="spellStart"/>
            <w:r>
              <w:rPr>
                <w:rFonts w:ascii="Times New Roman" w:hAnsi="Times New Roman" w:cs="Times New Roman"/>
                <w:sz w:val="22"/>
                <w:szCs w:val="22"/>
              </w:rPr>
              <w:t>Student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success</w:t>
            </w:r>
            <w:proofErr w:type="spellEnd"/>
          </w:p>
        </w:tc>
        <w:tc>
          <w:tcPr>
            <w:tcW w:w="283"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
        </w:tc>
        <w:tc>
          <w:tcPr>
            <w:tcW w:w="4607" w:type="dxa"/>
            <w:tcBorders>
              <w:top w:val="nil"/>
              <w:left w:val="nil"/>
              <w:bottom w:val="nil"/>
              <w:right w:val="nil"/>
            </w:tcBorders>
          </w:tcPr>
          <w:p w:rsidR="007C3B53" w:rsidRPr="00A30AD8" w:rsidRDefault="007C3B53" w:rsidP="007C3B53">
            <w:pPr>
              <w:pStyle w:val="Commentaire"/>
              <w:spacing w:after="120"/>
              <w:ind w:right="-142"/>
              <w:rPr>
                <w:rFonts w:ascii="Times New Roman" w:hAnsi="Times New Roman" w:cs="Times New Roman"/>
                <w:sz w:val="22"/>
                <w:szCs w:val="22"/>
              </w:rPr>
            </w:pPr>
          </w:p>
        </w:tc>
      </w:tr>
    </w:tbl>
    <w:p w:rsidR="00CE6483" w:rsidRPr="00A30AD8" w:rsidRDefault="00CE6483">
      <w:pPr>
        <w:rPr>
          <w:sz w:val="22"/>
          <w:szCs w:val="22"/>
        </w:rPr>
      </w:pPr>
    </w:p>
    <w:p w:rsidR="00F360E5" w:rsidRPr="00FC1826" w:rsidRDefault="00F360E5" w:rsidP="00FC1826">
      <w:pPr>
        <w:tabs>
          <w:tab w:val="left" w:pos="6663"/>
        </w:tabs>
        <w:rPr>
          <w:noProof/>
          <w:lang w:eastAsia="fr-FR"/>
        </w:rPr>
      </w:pPr>
    </w:p>
    <w:sectPr w:rsidR="00F360E5" w:rsidRPr="00FC1826">
      <w:headerReference w:type="default" r:id="rId7"/>
      <w:footnotePr>
        <w:pos w:val="beneathText"/>
      </w:footnotePr>
      <w:pgSz w:w="11905" w:h="16837"/>
      <w:pgMar w:top="1276"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3E" w:rsidRDefault="009C063E" w:rsidP="00CE6483">
      <w:r>
        <w:separator/>
      </w:r>
    </w:p>
  </w:endnote>
  <w:endnote w:type="continuationSeparator" w:id="0">
    <w:p w:rsidR="009C063E" w:rsidRDefault="009C063E" w:rsidP="00CE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3E" w:rsidRDefault="009C063E" w:rsidP="00CE6483">
      <w:r>
        <w:separator/>
      </w:r>
    </w:p>
  </w:footnote>
  <w:footnote w:type="continuationSeparator" w:id="0">
    <w:p w:rsidR="009C063E" w:rsidRDefault="009C063E" w:rsidP="00CE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3F" w:rsidRDefault="002F705E" w:rsidP="00EC323F">
    <w:pPr>
      <w:pStyle w:val="En-tte"/>
      <w:spacing w:before="120"/>
    </w:pPr>
    <w:r w:rsidRPr="00496AC9">
      <w:rPr>
        <w:noProof/>
        <w:lang w:eastAsia="fr-FR"/>
      </w:rPr>
      <w:drawing>
        <wp:inline distT="0" distB="0" distL="0" distR="0">
          <wp:extent cx="1435100" cy="3937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p>
  <w:p w:rsidR="00CE6483" w:rsidRPr="00E95631" w:rsidRDefault="00CE64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499D"/>
    <w:multiLevelType w:val="hybridMultilevel"/>
    <w:tmpl w:val="194828CA"/>
    <w:lvl w:ilvl="0" w:tplc="AB26787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3F"/>
    <w:rsid w:val="00004277"/>
    <w:rsid w:val="00004564"/>
    <w:rsid w:val="00127FC6"/>
    <w:rsid w:val="001919F5"/>
    <w:rsid w:val="001C08AC"/>
    <w:rsid w:val="00267FE3"/>
    <w:rsid w:val="002F705E"/>
    <w:rsid w:val="00356E4B"/>
    <w:rsid w:val="00367816"/>
    <w:rsid w:val="003B776A"/>
    <w:rsid w:val="003F4E92"/>
    <w:rsid w:val="00422C8B"/>
    <w:rsid w:val="004356DA"/>
    <w:rsid w:val="00437C96"/>
    <w:rsid w:val="0046156B"/>
    <w:rsid w:val="004B4B1C"/>
    <w:rsid w:val="00500F5A"/>
    <w:rsid w:val="00552D53"/>
    <w:rsid w:val="00586CDA"/>
    <w:rsid w:val="005B25DF"/>
    <w:rsid w:val="00630451"/>
    <w:rsid w:val="00716DA2"/>
    <w:rsid w:val="007244CB"/>
    <w:rsid w:val="00771EF2"/>
    <w:rsid w:val="007C3B53"/>
    <w:rsid w:val="0080373F"/>
    <w:rsid w:val="00873448"/>
    <w:rsid w:val="008B2926"/>
    <w:rsid w:val="008C091C"/>
    <w:rsid w:val="00963C79"/>
    <w:rsid w:val="00985196"/>
    <w:rsid w:val="009C063E"/>
    <w:rsid w:val="009F52C2"/>
    <w:rsid w:val="009F7828"/>
    <w:rsid w:val="00A30AD8"/>
    <w:rsid w:val="00A40248"/>
    <w:rsid w:val="00AA6CBD"/>
    <w:rsid w:val="00AD074C"/>
    <w:rsid w:val="00B07D6D"/>
    <w:rsid w:val="00B537F8"/>
    <w:rsid w:val="00C05388"/>
    <w:rsid w:val="00C6108F"/>
    <w:rsid w:val="00CC3A29"/>
    <w:rsid w:val="00CC64C0"/>
    <w:rsid w:val="00CE6483"/>
    <w:rsid w:val="00D95502"/>
    <w:rsid w:val="00DA14EE"/>
    <w:rsid w:val="00DB40AA"/>
    <w:rsid w:val="00DF257C"/>
    <w:rsid w:val="00E86202"/>
    <w:rsid w:val="00E95631"/>
    <w:rsid w:val="00EC323F"/>
    <w:rsid w:val="00F20C5D"/>
    <w:rsid w:val="00F360E5"/>
    <w:rsid w:val="00F45EEC"/>
    <w:rsid w:val="00F87C19"/>
    <w:rsid w:val="00FB355F"/>
    <w:rsid w:val="00FC1826"/>
    <w:rsid w:val="00FC31CA"/>
    <w:rsid w:val="00FE5877"/>
    <w:rsid w:val="00FF4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DB1573-9E17-B14F-AB17-C1D5E76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jc w:val="center"/>
      <w:outlineLvl w:val="0"/>
    </w:pPr>
    <w:rPr>
      <w:b/>
      <w:bCs/>
      <w:sz w:val="40"/>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Corpsdetexte2">
    <w:name w:val="Body Text 2"/>
    <w:basedOn w:val="Normal"/>
    <w:semiHidden/>
    <w:pPr>
      <w:jc w:val="both"/>
    </w:pPr>
    <w:rPr>
      <w:b/>
      <w:bCs/>
      <w:sz w:val="22"/>
      <w:szCs w:val="2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mmentaire">
    <w:name w:val="annotation text"/>
    <w:basedOn w:val="Normal"/>
    <w:semiHidden/>
    <w:rPr>
      <w:rFonts w:ascii="Arial" w:hAnsi="Arial" w:cs="Arial"/>
      <w:sz w:val="20"/>
      <w:szCs w:val="20"/>
    </w:rPr>
  </w:style>
  <w:style w:type="paragraph" w:styleId="NormalWeb">
    <w:name w:val="Normal (Web)"/>
    <w:basedOn w:val="Normal"/>
    <w:uiPriority w:val="99"/>
    <w:semiHidden/>
    <w:unhideWhenUsed/>
    <w:rsid w:val="008B2926"/>
    <w:pPr>
      <w:suppressAutoHyphens w:val="0"/>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PRESENTATION</vt:lpstr>
    </vt:vector>
  </TitlesOfParts>
  <Company>Faculté des Sciences de Nantes</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dc:title>
  <dc:subject/>
  <dc:creator>Chantal Denain</dc:creator>
  <cp:keywords/>
  <cp:lastModifiedBy>Nadine Badin</cp:lastModifiedBy>
  <cp:revision>2</cp:revision>
  <cp:lastPrinted>2009-06-16T09:28:00Z</cp:lastPrinted>
  <dcterms:created xsi:type="dcterms:W3CDTF">2025-06-16T11:31:00Z</dcterms:created>
  <dcterms:modified xsi:type="dcterms:W3CDTF">2025-06-16T11:31:00Z</dcterms:modified>
</cp:coreProperties>
</file>